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676"/>
        <w:gridCol w:w="599"/>
        <w:gridCol w:w="567"/>
        <w:gridCol w:w="290"/>
        <w:gridCol w:w="136"/>
        <w:gridCol w:w="141"/>
        <w:gridCol w:w="142"/>
        <w:gridCol w:w="425"/>
        <w:gridCol w:w="284"/>
        <w:gridCol w:w="326"/>
        <w:gridCol w:w="383"/>
        <w:gridCol w:w="141"/>
        <w:gridCol w:w="567"/>
        <w:gridCol w:w="284"/>
        <w:gridCol w:w="142"/>
        <w:gridCol w:w="283"/>
        <w:gridCol w:w="381"/>
        <w:gridCol w:w="328"/>
        <w:gridCol w:w="142"/>
        <w:gridCol w:w="850"/>
        <w:gridCol w:w="851"/>
        <w:gridCol w:w="141"/>
        <w:gridCol w:w="709"/>
        <w:gridCol w:w="992"/>
      </w:tblGrid>
      <w:tr w:rsidR="006A701A" w:rsidRPr="008B4FE6" w14:paraId="4CCF5E51" w14:textId="77777777" w:rsidTr="005D4F24">
        <w:trPr>
          <w:trHeight w:val="1611"/>
        </w:trPr>
        <w:tc>
          <w:tcPr>
            <w:tcW w:w="6380" w:type="dxa"/>
            <w:gridSpan w:val="16"/>
          </w:tcPr>
          <w:p w14:paraId="320F5DB5" w14:textId="77777777" w:rsidR="006A701A" w:rsidRPr="008B4FE6" w:rsidRDefault="006A701A" w:rsidP="00C5437E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28AC585" w14:textId="77777777" w:rsidR="006A701A" w:rsidRPr="0089495E" w:rsidRDefault="004246CB" w:rsidP="0032254A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</w:t>
            </w:r>
            <w:r w:rsidRPr="00B077B0">
              <w:rPr>
                <w:rFonts w:ascii="Times New Roman" w:hAnsi="Times New Roman"/>
              </w:rPr>
              <w:t>ustawy o zmianie ustawy o zaopatrze</w:t>
            </w:r>
            <w:r>
              <w:rPr>
                <w:rFonts w:ascii="Times New Roman" w:hAnsi="Times New Roman"/>
              </w:rPr>
              <w:t xml:space="preserve">niu emerytalnym funkcjonariuszy </w:t>
            </w:r>
            <w:r w:rsidRPr="00B077B0">
              <w:rPr>
                <w:rFonts w:ascii="Times New Roman" w:hAnsi="Times New Roman"/>
              </w:rPr>
              <w:t>Policji, Agencji Bezpieczeństwa Wewnętrznego, Agencji Wywiadu, Służby Kontrwywiadu Wojskowego, Służby Wywiadu Wojskowego, Centralnego Biura Antykorupcyjnego, Straży G</w:t>
            </w:r>
            <w:r w:rsidR="008C4821">
              <w:rPr>
                <w:rFonts w:ascii="Times New Roman" w:hAnsi="Times New Roman"/>
              </w:rPr>
              <w:t>ranicznej, Straży Marszałkowskiej, Służby Ochrony Państwa</w:t>
            </w:r>
            <w:r w:rsidRPr="00B077B0">
              <w:rPr>
                <w:rFonts w:ascii="Times New Roman" w:hAnsi="Times New Roman"/>
              </w:rPr>
              <w:t>, Państwowej Straży Pożarnej</w:t>
            </w:r>
            <w:r w:rsidR="008C4821">
              <w:rPr>
                <w:rFonts w:ascii="Times New Roman" w:hAnsi="Times New Roman"/>
              </w:rPr>
              <w:t>, Służby Celno-Skarbowej</w:t>
            </w:r>
            <w:r w:rsidR="008C4821">
              <w:rPr>
                <w:rFonts w:ascii="Times New Roman" w:hAnsi="Times New Roman"/>
              </w:rPr>
              <w:br/>
            </w:r>
            <w:r w:rsidRPr="00B077B0">
              <w:rPr>
                <w:rFonts w:ascii="Times New Roman" w:hAnsi="Times New Roman"/>
              </w:rPr>
              <w:t>i Służby Więziennej oraz ich rodzin</w:t>
            </w:r>
            <w:r w:rsidR="008C4821">
              <w:rPr>
                <w:rFonts w:ascii="Times New Roman" w:hAnsi="Times New Roman"/>
              </w:rPr>
              <w:t xml:space="preserve"> oraz niektórych innych ustaw</w:t>
            </w:r>
            <w:r w:rsidR="00103C38">
              <w:rPr>
                <w:rFonts w:ascii="Times New Roman" w:hAnsi="Times New Roman"/>
              </w:rPr>
              <w:t>.</w:t>
            </w:r>
          </w:p>
          <w:p w14:paraId="70C82DD8" w14:textId="77777777" w:rsidR="00B245DE" w:rsidRDefault="006A701A" w:rsidP="004246C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4A93AFF4" w14:textId="77777777" w:rsidR="00AB5533" w:rsidRPr="00AB5533" w:rsidRDefault="00AB5533" w:rsidP="004246CB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Spraw Wewnętrznych i Administracji</w:t>
            </w:r>
          </w:p>
          <w:p w14:paraId="1ED2007B" w14:textId="77777777" w:rsidR="001B3460" w:rsidRPr="00642825" w:rsidRDefault="001B3460" w:rsidP="00B245DE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7969242E" w14:textId="77777777" w:rsidR="001B3460" w:rsidRPr="006C1C66" w:rsidRDefault="008C4821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Wąsik</w:t>
            </w:r>
            <w:r w:rsidR="00DC5478" w:rsidRPr="006C1C66">
              <w:rPr>
                <w:rFonts w:ascii="Times New Roman" w:hAnsi="Times New Roman"/>
              </w:rPr>
              <w:t xml:space="preserve"> – </w:t>
            </w:r>
            <w:r w:rsidR="00AB5533">
              <w:rPr>
                <w:rFonts w:ascii="Times New Roman" w:hAnsi="Times New Roman"/>
              </w:rPr>
              <w:t>S</w:t>
            </w:r>
            <w:r w:rsidR="00F43DEB" w:rsidRPr="006C1C66">
              <w:rPr>
                <w:rFonts w:ascii="Times New Roman" w:hAnsi="Times New Roman"/>
              </w:rPr>
              <w:t>ekr</w:t>
            </w:r>
            <w:r w:rsidR="00DC5478" w:rsidRPr="006C1C66">
              <w:rPr>
                <w:rFonts w:ascii="Times New Roman" w:hAnsi="Times New Roman"/>
              </w:rPr>
              <w:t>etarz Stanu w MSW</w:t>
            </w:r>
            <w:r w:rsidR="00AB5533">
              <w:rPr>
                <w:rFonts w:ascii="Times New Roman" w:hAnsi="Times New Roman"/>
              </w:rPr>
              <w:t>iA</w:t>
            </w:r>
          </w:p>
          <w:p w14:paraId="519DED1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29CCF30" w14:textId="77777777" w:rsidR="00103C38" w:rsidRDefault="00103C38" w:rsidP="00103C38">
            <w:pPr>
              <w:jc w:val="both"/>
              <w:rPr>
                <w:rStyle w:val="Hipercze"/>
                <w:rFonts w:ascii="Times New Roman" w:hAnsi="Times New Roman"/>
              </w:rPr>
            </w:pPr>
            <w:r w:rsidRPr="00103C38">
              <w:rPr>
                <w:rFonts w:ascii="Times New Roman" w:hAnsi="Times New Roman"/>
              </w:rPr>
              <w:t>Władysław Budzeń – Dyrektor Departamentu Budżetu MSWiA, tel. 22 60 143 17, e-mail</w:t>
            </w:r>
            <w:r w:rsidRPr="00707C1A">
              <w:rPr>
                <w:rFonts w:ascii="Times New Roman" w:hAnsi="Times New Roman"/>
                <w:color w:val="000000"/>
              </w:rPr>
              <w:t xml:space="preserve">: </w:t>
            </w:r>
            <w:hyperlink r:id="rId8" w:history="1">
              <w:r w:rsidRPr="007B648E">
                <w:rPr>
                  <w:rStyle w:val="Hipercze"/>
                  <w:rFonts w:ascii="Times New Roman" w:hAnsi="Times New Roman"/>
                </w:rPr>
                <w:t>departament.budzetu@mswia.gov.pl</w:t>
              </w:r>
            </w:hyperlink>
          </w:p>
          <w:p w14:paraId="44C543BF" w14:textId="77777777" w:rsidR="00103C38" w:rsidRPr="0032254A" w:rsidRDefault="00103C38" w:rsidP="0032254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77" w:type="dxa"/>
            <w:gridSpan w:val="9"/>
            <w:shd w:val="clear" w:color="auto" w:fill="FFFFFF"/>
          </w:tcPr>
          <w:p w14:paraId="5EC4D206" w14:textId="7C9E1FDE" w:rsidR="001B3460" w:rsidRPr="00196C5F" w:rsidRDefault="001B3460" w:rsidP="00C5437E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909D8">
              <w:rPr>
                <w:rFonts w:ascii="Times New Roman" w:hAnsi="Times New Roman"/>
                <w:sz w:val="21"/>
                <w:szCs w:val="21"/>
              </w:rPr>
              <w:t>10</w:t>
            </w:r>
            <w:r w:rsidR="008C482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909D8">
              <w:rPr>
                <w:rFonts w:ascii="Times New Roman" w:hAnsi="Times New Roman"/>
                <w:sz w:val="21"/>
                <w:szCs w:val="21"/>
              </w:rPr>
              <w:t>lutego</w:t>
            </w:r>
            <w:r w:rsidR="00207D1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909D8">
              <w:rPr>
                <w:rFonts w:ascii="Times New Roman" w:hAnsi="Times New Roman"/>
                <w:sz w:val="21"/>
                <w:szCs w:val="21"/>
              </w:rPr>
              <w:t>2021</w:t>
            </w:r>
            <w:r w:rsidR="002F7234" w:rsidRPr="00207D1F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3FBA0FA4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FF6C9CA" w14:textId="77777777" w:rsidR="00480C5C" w:rsidRDefault="008C4821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</w:p>
          <w:p w14:paraId="19A8219A" w14:textId="77777777" w:rsidR="00322E3D" w:rsidRDefault="00322E3D" w:rsidP="007943E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03C38">
              <w:rPr>
                <w:rFonts w:ascii="Times New Roman" w:hAnsi="Times New Roman"/>
                <w:color w:val="000000"/>
              </w:rPr>
              <w:t xml:space="preserve">Inicjatywa własna </w:t>
            </w:r>
          </w:p>
          <w:p w14:paraId="621DD4E7" w14:textId="34D2F32C" w:rsidR="00103C38" w:rsidRPr="00103C38" w:rsidRDefault="00103C38" w:rsidP="007943E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03C38">
              <w:rPr>
                <w:rFonts w:ascii="Times New Roman" w:hAnsi="Times New Roman"/>
                <w:color w:val="000000"/>
              </w:rPr>
              <w:t xml:space="preserve">Porozumienie z dnia 8 listopada 2018 r. zawarte pomiędzy 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>Ministrem Spraw Wewnętrznych i Administracji</w:t>
            </w:r>
            <w:r w:rsidR="00F85EFF" w:rsidRPr="00103C38" w:rsidDel="00F85EFF">
              <w:rPr>
                <w:rFonts w:ascii="Times New Roman" w:hAnsi="Times New Roman"/>
                <w:color w:val="000000"/>
              </w:rPr>
              <w:t xml:space="preserve"> </w:t>
            </w:r>
            <w:r w:rsidRPr="00103C38">
              <w:rPr>
                <w:rFonts w:ascii="Times New Roman" w:hAnsi="Times New Roman"/>
                <w:color w:val="000000"/>
              </w:rPr>
              <w:t xml:space="preserve">a Stroną Społeczną reprezentowaną przez przedstawicieli związków zawodowych zrzeszających funkcjonariuszy formacji resortu 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>Spraw Wewnętrznych i Administracji</w:t>
            </w:r>
            <w:r w:rsidRPr="00103C38">
              <w:rPr>
                <w:rFonts w:ascii="Times New Roman" w:hAnsi="Times New Roman"/>
                <w:color w:val="000000"/>
              </w:rPr>
              <w:t>.</w:t>
            </w:r>
            <w:r w:rsidR="0078260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D7D9875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AB5533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8C4821">
              <w:rPr>
                <w:rFonts w:ascii="Times New Roman" w:hAnsi="Times New Roman"/>
                <w:b/>
                <w:color w:val="000000"/>
              </w:rPr>
              <w:t>:</w:t>
            </w:r>
            <w:r w:rsidR="00AB553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315EF7B" w14:textId="0450699B" w:rsidR="00D76956" w:rsidRPr="00D76956" w:rsidRDefault="00D76956" w:rsidP="007943E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D76956">
              <w:rPr>
                <w:rFonts w:ascii="Times New Roman" w:hAnsi="Times New Roman"/>
                <w:color w:val="000000"/>
              </w:rPr>
              <w:t>UD 183</w:t>
            </w:r>
          </w:p>
          <w:p w14:paraId="464E819E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A701A" w:rsidRPr="0022687A" w14:paraId="34739C68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</w:tcPr>
          <w:p w14:paraId="4A62340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977395A" w14:textId="77777777" w:rsidTr="005D4F24">
        <w:trPr>
          <w:trHeight w:val="333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524418C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FB1AC7" w14:paraId="5FAE0EF9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FFFFFF"/>
          </w:tcPr>
          <w:p w14:paraId="0DDFE7DF" w14:textId="13489B2E" w:rsidR="00785A67" w:rsidRPr="00D34101" w:rsidRDefault="00284DBE" w:rsidP="00D34101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84DBE">
              <w:rPr>
                <w:sz w:val="22"/>
                <w:szCs w:val="22"/>
              </w:rPr>
              <w:t>unkcjonariuszom przyjętym do służby po raz pierwszy po dniu 1 stycznia 1999 r.</w:t>
            </w:r>
            <w:r>
              <w:rPr>
                <w:sz w:val="22"/>
                <w:szCs w:val="22"/>
              </w:rPr>
              <w:t xml:space="preserve"> s</w:t>
            </w:r>
            <w:r w:rsidRPr="00284DBE">
              <w:rPr>
                <w:sz w:val="22"/>
                <w:szCs w:val="22"/>
              </w:rPr>
              <w:t>posób ustalania wy</w:t>
            </w:r>
            <w:r>
              <w:rPr>
                <w:sz w:val="22"/>
                <w:szCs w:val="22"/>
              </w:rPr>
              <w:t xml:space="preserve">sokości emerytury policyjnej </w:t>
            </w:r>
            <w:r w:rsidRPr="00284DBE">
              <w:rPr>
                <w:sz w:val="22"/>
                <w:szCs w:val="22"/>
              </w:rPr>
              <w:t>reguluje obecnie art. 15a ustawy z dnia 18 lutego 1994 r. o zaopatrzeniu emerytalnym funkcjonariuszy Policji, Agencji Bezpieczeństwa Wewnętrznego, Agencji Wywiadu, Służby Kontrwywiadu Wojskowego, Służby Wywiadu Wojskowego, Centralnego Biura Antykorupcyjnego, Straży Granicznej,</w:t>
            </w:r>
            <w:r w:rsidR="0018028B">
              <w:t xml:space="preserve"> </w:t>
            </w:r>
            <w:r w:rsidR="0018028B" w:rsidRPr="0018028B">
              <w:rPr>
                <w:sz w:val="22"/>
                <w:szCs w:val="22"/>
              </w:rPr>
              <w:t>Straży Marszałkowskiej, Służby Ochrony Państwa, Państwowej Straży Pożarnej, Służby Celno-Skarbowej</w:t>
            </w:r>
            <w:r w:rsidRPr="00284DBE">
              <w:rPr>
                <w:sz w:val="22"/>
                <w:szCs w:val="22"/>
              </w:rPr>
              <w:t xml:space="preserve"> i Służby Więzienne</w:t>
            </w:r>
            <w:r w:rsidR="0018028B">
              <w:rPr>
                <w:sz w:val="22"/>
                <w:szCs w:val="22"/>
              </w:rPr>
              <w:t>j oraz ich rodzin (Dz. U. z 2020 r. poz. 723</w:t>
            </w:r>
            <w:r w:rsidRPr="00284DBE">
              <w:rPr>
                <w:sz w:val="22"/>
                <w:szCs w:val="22"/>
              </w:rPr>
              <w:t>), zwanej dalej „ustawą zaop</w:t>
            </w:r>
            <w:r w:rsidR="0018028B">
              <w:rPr>
                <w:sz w:val="22"/>
                <w:szCs w:val="22"/>
              </w:rPr>
              <w:t>atrzeniową”. Emerytura dla takich funkcjonariuszy</w:t>
            </w:r>
            <w:r w:rsidRPr="00284DBE">
              <w:rPr>
                <w:sz w:val="22"/>
                <w:szCs w:val="22"/>
              </w:rPr>
              <w:t xml:space="preserve"> obliczana jest wyłącznie za okresy służby (oraz okresy równorzędne ze służbą)</w:t>
            </w:r>
            <w:r>
              <w:rPr>
                <w:sz w:val="22"/>
                <w:szCs w:val="22"/>
              </w:rPr>
              <w:t xml:space="preserve">. </w:t>
            </w:r>
            <w:r w:rsidRPr="00284DBE">
              <w:rPr>
                <w:sz w:val="22"/>
                <w:szCs w:val="22"/>
              </w:rPr>
              <w:t>Funkcjonariuszom przyjętym do</w:t>
            </w:r>
            <w:r w:rsidR="0018028B">
              <w:rPr>
                <w:sz w:val="22"/>
                <w:szCs w:val="22"/>
              </w:rPr>
              <w:t xml:space="preserve"> służby po raz pierwszy po dniu</w:t>
            </w:r>
            <w:r w:rsidR="0018028B">
              <w:rPr>
                <w:sz w:val="22"/>
                <w:szCs w:val="22"/>
              </w:rPr>
              <w:br/>
            </w:r>
            <w:r w:rsidRPr="00284DBE">
              <w:rPr>
                <w:sz w:val="22"/>
                <w:szCs w:val="22"/>
              </w:rPr>
              <w:t>1 stycznia 1999 r., przy obliczaniu wysokości</w:t>
            </w:r>
            <w:r w:rsidR="0018028B">
              <w:rPr>
                <w:sz w:val="22"/>
                <w:szCs w:val="22"/>
              </w:rPr>
              <w:t xml:space="preserve"> emerytury nie są uwzględniane</w:t>
            </w:r>
            <w:r w:rsidRPr="00284DBE">
              <w:rPr>
                <w:sz w:val="22"/>
                <w:szCs w:val="22"/>
              </w:rPr>
              <w:t xml:space="preserve"> </w:t>
            </w:r>
            <w:r w:rsidR="00322E3D">
              <w:rPr>
                <w:sz w:val="22"/>
                <w:szCs w:val="22"/>
              </w:rPr>
              <w:t>tzw. okresy pracy cywilnej</w:t>
            </w:r>
            <w:r w:rsidR="00B210B5">
              <w:rPr>
                <w:sz w:val="22"/>
                <w:szCs w:val="22"/>
              </w:rPr>
              <w:t xml:space="preserve">, </w:t>
            </w:r>
            <w:r w:rsidR="00322E3D">
              <w:rPr>
                <w:sz w:val="22"/>
                <w:szCs w:val="22"/>
              </w:rPr>
              <w:t>tj</w:t>
            </w:r>
            <w:r w:rsidR="00BC5D45">
              <w:rPr>
                <w:sz w:val="22"/>
                <w:szCs w:val="22"/>
              </w:rPr>
              <w:t>.</w:t>
            </w:r>
            <w:r w:rsidR="00322E3D">
              <w:rPr>
                <w:sz w:val="22"/>
                <w:szCs w:val="22"/>
              </w:rPr>
              <w:t xml:space="preserve"> okres zatrudnienia </w:t>
            </w:r>
            <w:r w:rsidRPr="00284DBE">
              <w:rPr>
                <w:sz w:val="22"/>
                <w:szCs w:val="22"/>
              </w:rPr>
              <w:t xml:space="preserve"> przed wstąpieniem do słu</w:t>
            </w:r>
            <w:r w:rsidR="0018028B">
              <w:rPr>
                <w:sz w:val="22"/>
                <w:szCs w:val="22"/>
              </w:rPr>
              <w:t>żby</w:t>
            </w:r>
            <w:r w:rsidR="00322E3D">
              <w:rPr>
                <w:sz w:val="22"/>
                <w:szCs w:val="22"/>
              </w:rPr>
              <w:t xml:space="preserve"> lub</w:t>
            </w:r>
            <w:r w:rsidRPr="00284DBE">
              <w:rPr>
                <w:sz w:val="22"/>
                <w:szCs w:val="22"/>
              </w:rPr>
              <w:t xml:space="preserve"> przypadając</w:t>
            </w:r>
            <w:r w:rsidR="00BC5D45">
              <w:rPr>
                <w:sz w:val="22"/>
                <w:szCs w:val="22"/>
              </w:rPr>
              <w:t>y</w:t>
            </w:r>
            <w:r w:rsidRPr="00284DBE">
              <w:rPr>
                <w:sz w:val="22"/>
                <w:szCs w:val="22"/>
              </w:rPr>
              <w:t xml:space="preserve"> po zwolnien</w:t>
            </w:r>
            <w:r w:rsidR="0018028B">
              <w:rPr>
                <w:sz w:val="22"/>
                <w:szCs w:val="22"/>
              </w:rPr>
              <w:t>iu ze służby</w:t>
            </w:r>
            <w:r w:rsidRPr="00284DBE">
              <w:rPr>
                <w:sz w:val="22"/>
                <w:szCs w:val="22"/>
              </w:rPr>
              <w:t>.</w:t>
            </w:r>
          </w:p>
          <w:p w14:paraId="61CF1600" w14:textId="77777777" w:rsidR="00BC5D45" w:rsidRPr="009663CF" w:rsidRDefault="000C6BCF" w:rsidP="00284DB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3CF">
              <w:rPr>
                <w:rFonts w:ascii="Times New Roman" w:hAnsi="Times New Roman" w:cs="Times New Roman"/>
                <w:sz w:val="22"/>
                <w:szCs w:val="22"/>
              </w:rPr>
              <w:t xml:space="preserve">Natomiast </w:t>
            </w:r>
            <w:r w:rsidR="00BC5D45" w:rsidRPr="009663CF">
              <w:rPr>
                <w:rFonts w:ascii="Times New Roman" w:hAnsi="Times New Roman" w:cs="Times New Roman"/>
                <w:sz w:val="22"/>
                <w:szCs w:val="22"/>
              </w:rPr>
              <w:t xml:space="preserve">funkcjonariusze, którzy pozostawali w służbie przed dniem 2 stycznia 1999 r., zgodnie z art. 14 ustawy zaopatrzeniowej mają prawo wnosić o doliczenie do wysługi lat m.in. </w:t>
            </w:r>
            <w:r w:rsidR="00F71846" w:rsidRPr="00F71846">
              <w:rPr>
                <w:rFonts w:ascii="Times New Roman" w:hAnsi="Times New Roman" w:cs="Times New Roman"/>
                <w:sz w:val="22"/>
                <w:szCs w:val="22"/>
              </w:rPr>
              <w:t>okresy przypadające po zwolnieniu ze służby, a na podstawie art</w:t>
            </w:r>
            <w:r w:rsidR="00F71846" w:rsidRPr="00DE432E">
              <w:rPr>
                <w:rFonts w:ascii="Times New Roman" w:hAnsi="Times New Roman" w:cs="Times New Roman"/>
                <w:sz w:val="22"/>
                <w:szCs w:val="22"/>
              </w:rPr>
              <w:t xml:space="preserve">. 15 ust. 1 ustawy zaopatrzeniowej wnosić o zwiększenie wymiaru emerytury </w:t>
            </w:r>
            <w:r w:rsidR="00F71846" w:rsidRPr="00966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 każdy rok okresów składkowych poprzedzających służbę</w:t>
            </w:r>
            <w:r w:rsidR="00BC5D45" w:rsidRPr="00966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608BDC7C" w14:textId="373F361A" w:rsidR="000C6BCF" w:rsidRPr="009663CF" w:rsidRDefault="00BC5D45" w:rsidP="00BC5D45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6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związku z postulatami f</w:t>
            </w:r>
            <w:r w:rsidRPr="009663CF">
              <w:rPr>
                <w:rFonts w:ascii="Times New Roman" w:hAnsi="Times New Roman" w:cs="Times New Roman"/>
                <w:sz w:val="22"/>
                <w:szCs w:val="22"/>
              </w:rPr>
              <w:t xml:space="preserve">unkcjonariuszy służb mundurowych, którzy zostali przyjęci do służby po raz pierwszy po dniu </w:t>
            </w:r>
            <w:r w:rsidR="009663CF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Pr="009663CF">
              <w:rPr>
                <w:rFonts w:ascii="Times New Roman" w:hAnsi="Times New Roman" w:cs="Times New Roman"/>
                <w:sz w:val="22"/>
                <w:szCs w:val="22"/>
              </w:rPr>
              <w:t>stycznia 1999 r., o umożliwienie im doliczania do wysługi emerytalnej tzw. okresów pracy cywilnej, podobnie jak funkcjonariuszom</w:t>
            </w:r>
            <w:r w:rsidRPr="00BC5D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663CF">
              <w:rPr>
                <w:rFonts w:ascii="Times New Roman" w:hAnsi="Times New Roman" w:cs="Times New Roman"/>
                <w:sz w:val="22"/>
                <w:szCs w:val="22"/>
              </w:rPr>
              <w:t xml:space="preserve"> o których mowa w art. 15 ustawy zaopatrzeniowej, w</w:t>
            </w:r>
            <w:r w:rsidRPr="00BC5D45">
              <w:rPr>
                <w:rFonts w:ascii="Times New Roman" w:hAnsi="Times New Roman" w:cs="Times New Roman"/>
                <w:sz w:val="22"/>
                <w:szCs w:val="22"/>
              </w:rPr>
              <w:t xml:space="preserve"> dniu 8 listopada 2018 r. zostało zawarte </w:t>
            </w:r>
            <w:r w:rsidRPr="00DE432E">
              <w:rPr>
                <w:rFonts w:ascii="Times New Roman" w:hAnsi="Times New Roman" w:cs="Times New Roman"/>
                <w:sz w:val="22"/>
                <w:szCs w:val="22"/>
              </w:rPr>
              <w:t>Porozumienie pomiędzy Ministrem Spraw Wewnętrznych i Administracji, a NSZZ Policjantów, NSZZ Funkcjonariuszy Straży Granicznej, NSZZ Pracowników Pożarnictwa, Związkiem Zawodowym Strażaków "Florian" oraz Krajową Sekcją Pożarnictwa NSZZ "Solidarność", które w § 4 ust. 1 przewiduje</w:t>
            </w:r>
            <w:r w:rsidRPr="009663CF">
              <w:rPr>
                <w:rFonts w:ascii="Times New Roman" w:hAnsi="Times New Roman" w:cs="Times New Roman"/>
                <w:sz w:val="22"/>
                <w:szCs w:val="22"/>
              </w:rPr>
              <w:t xml:space="preserve"> nowelizację art. 15a ustawy zaopatrzeniowej w</w:t>
            </w:r>
            <w:r w:rsidR="009663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przedmiotowy zakresie w </w:t>
            </w:r>
            <w:r w:rsidRPr="009663CF">
              <w:rPr>
                <w:rFonts w:ascii="Times New Roman" w:hAnsi="Times New Roman" w:cs="Times New Roman"/>
                <w:sz w:val="22"/>
                <w:szCs w:val="22"/>
              </w:rPr>
              <w:t xml:space="preserve">odniesieniu do </w:t>
            </w:r>
            <w:r w:rsidRPr="00BC5D45">
              <w:rPr>
                <w:rFonts w:ascii="Times New Roman" w:hAnsi="Times New Roman" w:cs="Times New Roman"/>
                <w:sz w:val="22"/>
                <w:szCs w:val="22"/>
              </w:rPr>
              <w:t>funkcjonariuszy przyjętych do służby po raz pierwszy po dniu 1 stycznia 1999</w:t>
            </w:r>
            <w:r w:rsidR="009663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C5D45">
              <w:rPr>
                <w:rFonts w:ascii="Times New Roman" w:hAnsi="Times New Roman" w:cs="Times New Roman"/>
                <w:sz w:val="22"/>
                <w:szCs w:val="22"/>
              </w:rPr>
              <w:t>r., a przed dniem 1 października 2003 r.</w:t>
            </w:r>
          </w:p>
          <w:p w14:paraId="70965CC2" w14:textId="1873258C" w:rsidR="00284DBE" w:rsidRPr="00284DBE" w:rsidRDefault="00284DBE" w:rsidP="00284DBE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284DBE">
              <w:rPr>
                <w:sz w:val="22"/>
                <w:szCs w:val="22"/>
              </w:rPr>
              <w:t xml:space="preserve">Zgodnie z obecnie obowiązującymi </w:t>
            </w:r>
            <w:r w:rsidR="0018028B">
              <w:rPr>
                <w:sz w:val="22"/>
                <w:szCs w:val="22"/>
              </w:rPr>
              <w:t>przepisami, za tzw. okresy pracy cywilnej</w:t>
            </w:r>
            <w:r w:rsidR="00F82CC2">
              <w:rPr>
                <w:sz w:val="22"/>
                <w:szCs w:val="22"/>
              </w:rPr>
              <w:t xml:space="preserve"> wyżej wymienieni</w:t>
            </w:r>
            <w:r w:rsidRPr="00284DBE">
              <w:rPr>
                <w:sz w:val="22"/>
                <w:szCs w:val="22"/>
              </w:rPr>
              <w:t xml:space="preserve"> funkcjonariusz</w:t>
            </w:r>
            <w:r w:rsidR="0018028B">
              <w:rPr>
                <w:sz w:val="22"/>
                <w:szCs w:val="22"/>
              </w:rPr>
              <w:t>e</w:t>
            </w:r>
            <w:r w:rsidRPr="00284DBE">
              <w:rPr>
                <w:sz w:val="22"/>
                <w:szCs w:val="22"/>
              </w:rPr>
              <w:t>, po osiągnięciu wieku emerytalnego</w:t>
            </w:r>
            <w:r w:rsidR="00322E3D">
              <w:rPr>
                <w:sz w:val="22"/>
                <w:szCs w:val="22"/>
              </w:rPr>
              <w:t xml:space="preserve"> ustalonego na podstawie przepisów o powszechnym systemie ubezpieczeń społecznych</w:t>
            </w:r>
            <w:r w:rsidRPr="00284DBE">
              <w:rPr>
                <w:sz w:val="22"/>
                <w:szCs w:val="22"/>
              </w:rPr>
              <w:t xml:space="preserve"> i</w:t>
            </w:r>
            <w:r w:rsidR="009663CF">
              <w:rPr>
                <w:sz w:val="22"/>
                <w:szCs w:val="22"/>
              </w:rPr>
              <w:t> </w:t>
            </w:r>
            <w:r w:rsidRPr="00284DBE">
              <w:rPr>
                <w:sz w:val="22"/>
                <w:szCs w:val="22"/>
              </w:rPr>
              <w:t xml:space="preserve">spełnieniu pozostałych warunków określonych przepisami </w:t>
            </w:r>
            <w:r w:rsidR="0018028B">
              <w:rPr>
                <w:sz w:val="22"/>
                <w:szCs w:val="22"/>
              </w:rPr>
              <w:t xml:space="preserve">ustawy z dnia </w:t>
            </w:r>
            <w:r w:rsidRPr="00284DBE">
              <w:rPr>
                <w:sz w:val="22"/>
                <w:szCs w:val="22"/>
              </w:rPr>
              <w:t>17 grudnia 1998 r. o emeryturach i rentach z</w:t>
            </w:r>
            <w:r w:rsidR="009663CF">
              <w:rPr>
                <w:sz w:val="22"/>
                <w:szCs w:val="22"/>
              </w:rPr>
              <w:t> </w:t>
            </w:r>
            <w:r w:rsidRPr="00284DBE">
              <w:rPr>
                <w:sz w:val="22"/>
                <w:szCs w:val="22"/>
              </w:rPr>
              <w:t xml:space="preserve">Funduszu </w:t>
            </w:r>
            <w:r w:rsidR="0018028B">
              <w:rPr>
                <w:sz w:val="22"/>
                <w:szCs w:val="22"/>
              </w:rPr>
              <w:t>Ubezpieczeń Społecznych</w:t>
            </w:r>
            <w:r w:rsidRPr="00284DBE">
              <w:rPr>
                <w:sz w:val="22"/>
                <w:szCs w:val="22"/>
              </w:rPr>
              <w:t xml:space="preserve">, </w:t>
            </w:r>
            <w:r w:rsidR="00322E3D">
              <w:rPr>
                <w:sz w:val="22"/>
                <w:szCs w:val="22"/>
              </w:rPr>
              <w:t>będą mogli</w:t>
            </w:r>
            <w:r w:rsidR="00322E3D" w:rsidRPr="00284DBE">
              <w:rPr>
                <w:sz w:val="22"/>
                <w:szCs w:val="22"/>
              </w:rPr>
              <w:t xml:space="preserve"> </w:t>
            </w:r>
            <w:r w:rsidRPr="00284DBE">
              <w:rPr>
                <w:sz w:val="22"/>
                <w:szCs w:val="22"/>
              </w:rPr>
              <w:t xml:space="preserve">otrzymać </w:t>
            </w:r>
            <w:r w:rsidR="00F82CC2">
              <w:rPr>
                <w:sz w:val="22"/>
                <w:szCs w:val="22"/>
              </w:rPr>
              <w:t xml:space="preserve">również </w:t>
            </w:r>
            <w:r w:rsidRPr="00284DBE">
              <w:rPr>
                <w:sz w:val="22"/>
                <w:szCs w:val="22"/>
              </w:rPr>
              <w:t>emerytur</w:t>
            </w:r>
            <w:r w:rsidR="0018028B">
              <w:rPr>
                <w:sz w:val="22"/>
                <w:szCs w:val="22"/>
              </w:rPr>
              <w:t xml:space="preserve">ę z </w:t>
            </w:r>
            <w:r w:rsidR="00322E3D" w:rsidRPr="00284DBE">
              <w:rPr>
                <w:sz w:val="22"/>
                <w:szCs w:val="22"/>
              </w:rPr>
              <w:t xml:space="preserve">Funduszu </w:t>
            </w:r>
            <w:r w:rsidR="00322E3D">
              <w:rPr>
                <w:sz w:val="22"/>
                <w:szCs w:val="22"/>
              </w:rPr>
              <w:t>Ubezpieczeń Społecznych</w:t>
            </w:r>
            <w:r w:rsidR="0018028B">
              <w:rPr>
                <w:sz w:val="22"/>
                <w:szCs w:val="22"/>
              </w:rPr>
              <w:t>.</w:t>
            </w:r>
          </w:p>
          <w:p w14:paraId="4038D772" w14:textId="58F2D1CB" w:rsidR="00785A67" w:rsidRPr="00785A67" w:rsidRDefault="00785A67" w:rsidP="00BC5D45">
            <w:pPr>
              <w:pStyle w:val="NIEARTTEKSTtekstnieartykuowanynppodstprawnarozplubpreambua"/>
              <w:spacing w:before="0" w:line="240" w:lineRule="auto"/>
              <w:ind w:firstLine="0"/>
            </w:pPr>
          </w:p>
        </w:tc>
      </w:tr>
      <w:tr w:rsidR="006A701A" w:rsidRPr="008B4FE6" w14:paraId="01DFA606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33814924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97C7A7E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auto"/>
          </w:tcPr>
          <w:p w14:paraId="7BF0F3A4" w14:textId="3FC8105D" w:rsidR="009371AE" w:rsidRDefault="00F65124" w:rsidP="00692DEF">
            <w:pPr>
              <w:pStyle w:val="LITliter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związku z ustaleniami wyprac</w:t>
            </w:r>
            <w:r w:rsidR="00B210B5">
              <w:rPr>
                <w:sz w:val="22"/>
                <w:szCs w:val="22"/>
              </w:rPr>
              <w:t>owanymi ze związkami zawodowymi</w:t>
            </w:r>
            <w:r>
              <w:rPr>
                <w:sz w:val="22"/>
                <w:szCs w:val="22"/>
              </w:rPr>
              <w:t xml:space="preserve"> p</w:t>
            </w:r>
            <w:r w:rsidR="009371AE">
              <w:rPr>
                <w:sz w:val="22"/>
                <w:szCs w:val="22"/>
              </w:rPr>
              <w:t>roponuje się</w:t>
            </w:r>
            <w:r w:rsidR="005D12A5">
              <w:rPr>
                <w:sz w:val="22"/>
                <w:szCs w:val="22"/>
              </w:rPr>
              <w:t xml:space="preserve"> dodanie w ustawie zaopatrzeniowej art. 15aa, który umożliwi</w:t>
            </w:r>
            <w:r w:rsidR="009371AE" w:rsidRPr="009371AE">
              <w:rPr>
                <w:sz w:val="22"/>
                <w:szCs w:val="22"/>
              </w:rPr>
              <w:t xml:space="preserve"> funkcjonariuszom</w:t>
            </w:r>
            <w:r w:rsidR="00692DEF">
              <w:t xml:space="preserve"> </w:t>
            </w:r>
            <w:r w:rsidR="00692DEF" w:rsidRPr="00692DEF">
              <w:rPr>
                <w:sz w:val="22"/>
                <w:szCs w:val="22"/>
              </w:rPr>
              <w:t>Policji, Straży Granicznej, Służby Ochrony Państwa</w:t>
            </w:r>
            <w:r w:rsidR="00692DEF">
              <w:rPr>
                <w:sz w:val="22"/>
                <w:szCs w:val="22"/>
              </w:rPr>
              <w:t xml:space="preserve"> </w:t>
            </w:r>
            <w:r w:rsidR="00692DEF" w:rsidRPr="00692DEF">
              <w:rPr>
                <w:sz w:val="22"/>
                <w:szCs w:val="22"/>
              </w:rPr>
              <w:t>i Państwowej Straży Pożarnej</w:t>
            </w:r>
            <w:r w:rsidR="009371AE" w:rsidRPr="009371AE">
              <w:rPr>
                <w:sz w:val="22"/>
                <w:szCs w:val="22"/>
              </w:rPr>
              <w:t>, którzy zostali przyjęci do służby po raz pierwszy po</w:t>
            </w:r>
            <w:r w:rsidR="005D12A5">
              <w:rPr>
                <w:sz w:val="22"/>
                <w:szCs w:val="22"/>
              </w:rPr>
              <w:t xml:space="preserve"> dniu</w:t>
            </w:r>
            <w:r>
              <w:rPr>
                <w:sz w:val="22"/>
                <w:szCs w:val="22"/>
              </w:rPr>
              <w:t xml:space="preserve"> </w:t>
            </w:r>
            <w:r w:rsidR="00692DEF">
              <w:rPr>
                <w:sz w:val="22"/>
                <w:szCs w:val="22"/>
              </w:rPr>
              <w:t xml:space="preserve">1 stycznia </w:t>
            </w:r>
            <w:r w:rsidR="009371AE">
              <w:rPr>
                <w:sz w:val="22"/>
                <w:szCs w:val="22"/>
              </w:rPr>
              <w:t xml:space="preserve">1999 </w:t>
            </w:r>
            <w:r w:rsidR="009371AE" w:rsidRPr="009371AE">
              <w:rPr>
                <w:sz w:val="22"/>
                <w:szCs w:val="22"/>
              </w:rPr>
              <w:t>r</w:t>
            </w:r>
            <w:r w:rsidR="005D12A5">
              <w:rPr>
                <w:sz w:val="22"/>
                <w:szCs w:val="22"/>
              </w:rPr>
              <w:t xml:space="preserve">., a przed dniem 1 października </w:t>
            </w:r>
            <w:r w:rsidR="009371AE" w:rsidRPr="009371AE">
              <w:rPr>
                <w:sz w:val="22"/>
                <w:szCs w:val="22"/>
              </w:rPr>
              <w:t>2003</w:t>
            </w:r>
            <w:r w:rsidR="009663CF">
              <w:rPr>
                <w:sz w:val="22"/>
                <w:szCs w:val="22"/>
              </w:rPr>
              <w:t> </w:t>
            </w:r>
            <w:r w:rsidR="009371AE" w:rsidRPr="009371AE">
              <w:rPr>
                <w:sz w:val="22"/>
                <w:szCs w:val="22"/>
              </w:rPr>
              <w:t>r. oraz którzy posiadają</w:t>
            </w:r>
            <w:r w:rsidR="005C7CD4">
              <w:rPr>
                <w:sz w:val="22"/>
                <w:szCs w:val="22"/>
              </w:rPr>
              <w:t>,</w:t>
            </w:r>
            <w:r w:rsidR="009371AE" w:rsidRPr="009371AE">
              <w:rPr>
                <w:sz w:val="22"/>
                <w:szCs w:val="22"/>
              </w:rPr>
              <w:t xml:space="preserve"> </w:t>
            </w:r>
            <w:r w:rsidR="0028498F">
              <w:rPr>
                <w:sz w:val="22"/>
                <w:szCs w:val="22"/>
              </w:rPr>
              <w:t xml:space="preserve">co najmniej </w:t>
            </w:r>
            <w:r w:rsidR="009371AE" w:rsidRPr="009371AE">
              <w:rPr>
                <w:sz w:val="22"/>
                <w:szCs w:val="22"/>
              </w:rPr>
              <w:t>25 lat służby i okresów z nią równorzędnych, o których mowa w art. 13 ust. 1 pkt 1 i 2 ustawy zaopatrzeniowej (tj. okresy służby w Urzędzie Ochrony Państwa, Biurze Ochrony Rząd</w:t>
            </w:r>
            <w:r w:rsidR="005D12A5">
              <w:rPr>
                <w:sz w:val="22"/>
                <w:szCs w:val="22"/>
              </w:rPr>
              <w:t>u i służby wojskowej), uwzględnienie w</w:t>
            </w:r>
            <w:r w:rsidR="009371AE" w:rsidRPr="009371AE">
              <w:rPr>
                <w:sz w:val="22"/>
                <w:szCs w:val="22"/>
              </w:rPr>
              <w:t xml:space="preserve"> w</w:t>
            </w:r>
            <w:r w:rsidR="005D12A5">
              <w:rPr>
                <w:sz w:val="22"/>
                <w:szCs w:val="22"/>
              </w:rPr>
              <w:t>ysłudze</w:t>
            </w:r>
            <w:r w:rsidR="009371AE">
              <w:rPr>
                <w:sz w:val="22"/>
                <w:szCs w:val="22"/>
              </w:rPr>
              <w:t xml:space="preserve"> emerytalnej </w:t>
            </w:r>
            <w:r w:rsidR="00BC5D45">
              <w:rPr>
                <w:sz w:val="22"/>
                <w:szCs w:val="22"/>
              </w:rPr>
              <w:t xml:space="preserve">okresów składkowych </w:t>
            </w:r>
            <w:r w:rsidR="009371AE">
              <w:rPr>
                <w:sz w:val="22"/>
                <w:szCs w:val="22"/>
              </w:rPr>
              <w:t>poprzedzających służbę lub przypadających po zwolni</w:t>
            </w:r>
            <w:r w:rsidR="00D34101">
              <w:rPr>
                <w:sz w:val="22"/>
                <w:szCs w:val="22"/>
              </w:rPr>
              <w:t xml:space="preserve">eniu ze służby </w:t>
            </w:r>
            <w:r w:rsidR="005D12A5">
              <w:rPr>
                <w:sz w:val="22"/>
                <w:szCs w:val="22"/>
              </w:rPr>
              <w:t>lub</w:t>
            </w:r>
            <w:r w:rsidR="009371AE">
              <w:rPr>
                <w:sz w:val="22"/>
                <w:szCs w:val="22"/>
              </w:rPr>
              <w:t xml:space="preserve"> okresów</w:t>
            </w:r>
            <w:r w:rsidR="009371AE" w:rsidRPr="009371AE">
              <w:rPr>
                <w:sz w:val="22"/>
                <w:szCs w:val="22"/>
              </w:rPr>
              <w:t xml:space="preserve"> opłacania składek (tzw. o</w:t>
            </w:r>
            <w:r w:rsidR="005D12A5">
              <w:rPr>
                <w:sz w:val="22"/>
                <w:szCs w:val="22"/>
              </w:rPr>
              <w:t>kresy pracy cywilnej). Okresy przypadające po służbie</w:t>
            </w:r>
            <w:r w:rsidR="009371AE" w:rsidRPr="009371AE">
              <w:rPr>
                <w:sz w:val="22"/>
                <w:szCs w:val="22"/>
              </w:rPr>
              <w:t xml:space="preserve"> będą mogły być doliczone na wniosek funkcjonariusza do wysługi emerytalnej, jeżeli jego emerytura będzie wynosić mniej niż 75% podstawy jej wymiaru. Za każdy rok okresów pracy cywilnej, doliczanych do wysługi emerytalnej przyjęto jednakowy wskaźnik zwiększenia podsta</w:t>
            </w:r>
            <w:r w:rsidR="009371AE">
              <w:rPr>
                <w:sz w:val="22"/>
                <w:szCs w:val="22"/>
              </w:rPr>
              <w:t>wy wymiaru emerytury, tj. 1,3%.</w:t>
            </w:r>
          </w:p>
          <w:p w14:paraId="65BFD503" w14:textId="77777777" w:rsidR="00166B3A" w:rsidRDefault="005D12A5" w:rsidP="009371AE">
            <w:pPr>
              <w:pStyle w:val="LITlitera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możliwości uwzględnienia w wysłudze</w:t>
            </w:r>
            <w:r w:rsidR="00C031F3" w:rsidRPr="00C031F3">
              <w:rPr>
                <w:sz w:val="22"/>
                <w:szCs w:val="22"/>
              </w:rPr>
              <w:t xml:space="preserve"> emerytalnej</w:t>
            </w:r>
            <w:r w:rsidR="009371AE">
              <w:rPr>
                <w:sz w:val="22"/>
                <w:szCs w:val="22"/>
              </w:rPr>
              <w:t xml:space="preserve"> tzw.</w:t>
            </w:r>
            <w:r w:rsidR="00C031F3" w:rsidRPr="00C031F3">
              <w:rPr>
                <w:sz w:val="22"/>
                <w:szCs w:val="22"/>
              </w:rPr>
              <w:t xml:space="preserve"> okresów pracy</w:t>
            </w:r>
            <w:r w:rsidR="009371AE">
              <w:rPr>
                <w:sz w:val="22"/>
                <w:szCs w:val="22"/>
              </w:rPr>
              <w:t xml:space="preserve"> cywilnej</w:t>
            </w:r>
            <w:r w:rsidR="00692DEF">
              <w:rPr>
                <w:sz w:val="22"/>
                <w:szCs w:val="22"/>
              </w:rPr>
              <w:t xml:space="preserve"> będzie się wiązało</w:t>
            </w:r>
            <w:r w:rsidR="00692D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brakiem</w:t>
            </w:r>
            <w:r w:rsidR="00C031F3" w:rsidRPr="00C031F3">
              <w:rPr>
                <w:sz w:val="22"/>
                <w:szCs w:val="22"/>
              </w:rPr>
              <w:t xml:space="preserve"> możliwości pobier</w:t>
            </w:r>
            <w:r w:rsidR="009371AE">
              <w:rPr>
                <w:sz w:val="22"/>
                <w:szCs w:val="22"/>
              </w:rPr>
              <w:t xml:space="preserve">ania dwóch </w:t>
            </w:r>
            <w:r w:rsidR="00C031F3" w:rsidRPr="00C031F3">
              <w:rPr>
                <w:sz w:val="22"/>
                <w:szCs w:val="22"/>
              </w:rPr>
              <w:t xml:space="preserve">emerytur, tj. policyjnej </w:t>
            </w:r>
            <w:r w:rsidR="00C031F3">
              <w:rPr>
                <w:sz w:val="22"/>
                <w:szCs w:val="22"/>
              </w:rPr>
              <w:t>i powszechnej</w:t>
            </w:r>
            <w:r w:rsidR="006E25E9">
              <w:rPr>
                <w:sz w:val="22"/>
                <w:szCs w:val="22"/>
              </w:rPr>
              <w:t>,</w:t>
            </w:r>
            <w:r w:rsidR="006E25E9">
              <w:t xml:space="preserve"> </w:t>
            </w:r>
            <w:r w:rsidR="00B41AC6">
              <w:rPr>
                <w:sz w:val="22"/>
                <w:szCs w:val="22"/>
              </w:rPr>
              <w:t>analogicz</w:t>
            </w:r>
            <w:r w:rsidR="006E25E9" w:rsidRPr="006E25E9">
              <w:rPr>
                <w:sz w:val="22"/>
                <w:szCs w:val="22"/>
              </w:rPr>
              <w:t xml:space="preserve">nie jak </w:t>
            </w:r>
            <w:r w:rsidR="00B41AC6">
              <w:rPr>
                <w:sz w:val="22"/>
                <w:szCs w:val="22"/>
              </w:rPr>
              <w:t>w przypadku osób, którym</w:t>
            </w:r>
            <w:r w:rsidR="006E25E9" w:rsidRPr="006E25E9">
              <w:rPr>
                <w:sz w:val="22"/>
                <w:szCs w:val="22"/>
              </w:rPr>
              <w:t xml:space="preserve"> </w:t>
            </w:r>
            <w:r w:rsidR="006E25E9" w:rsidRPr="006E25E9">
              <w:rPr>
                <w:sz w:val="22"/>
                <w:szCs w:val="22"/>
              </w:rPr>
              <w:lastRenderedPageBreak/>
              <w:t xml:space="preserve">emerytury </w:t>
            </w:r>
            <w:r w:rsidR="00B41AC6">
              <w:rPr>
                <w:sz w:val="22"/>
                <w:szCs w:val="22"/>
              </w:rPr>
              <w:t xml:space="preserve">są ustalane </w:t>
            </w:r>
            <w:r w:rsidR="006E25E9" w:rsidRPr="006E25E9">
              <w:rPr>
                <w:sz w:val="22"/>
                <w:szCs w:val="22"/>
              </w:rPr>
              <w:t>na podstawie art. 15 ustawy zaopatrzeniowej</w:t>
            </w:r>
            <w:r w:rsidR="006E25E9">
              <w:rPr>
                <w:sz w:val="22"/>
                <w:szCs w:val="22"/>
              </w:rPr>
              <w:t xml:space="preserve"> </w:t>
            </w:r>
            <w:r w:rsidR="009371AE">
              <w:rPr>
                <w:sz w:val="22"/>
                <w:szCs w:val="22"/>
              </w:rPr>
              <w:t xml:space="preserve">W związku z powyższym niezbędne jest </w:t>
            </w:r>
            <w:r w:rsidR="00B41AC6">
              <w:rPr>
                <w:sz w:val="22"/>
                <w:szCs w:val="22"/>
              </w:rPr>
              <w:t xml:space="preserve">wprowadzenie odpowiednich zmian </w:t>
            </w:r>
            <w:r w:rsidR="00EA4F01">
              <w:rPr>
                <w:sz w:val="22"/>
                <w:szCs w:val="22"/>
              </w:rPr>
              <w:t>w ustawie o systemie ubezpieczeń społeczny</w:t>
            </w:r>
            <w:r>
              <w:rPr>
                <w:sz w:val="22"/>
                <w:szCs w:val="22"/>
              </w:rPr>
              <w:t>ch oraz w ustawie o organizac</w:t>
            </w:r>
            <w:r w:rsidR="00B41AC6">
              <w:rPr>
                <w:sz w:val="22"/>
                <w:szCs w:val="22"/>
              </w:rPr>
              <w:t>ji</w:t>
            </w:r>
            <w:r w:rsidR="00B41AC6">
              <w:rPr>
                <w:sz w:val="22"/>
                <w:szCs w:val="22"/>
              </w:rPr>
              <w:br/>
            </w:r>
            <w:r w:rsidR="009371AE">
              <w:rPr>
                <w:sz w:val="22"/>
                <w:szCs w:val="22"/>
              </w:rPr>
              <w:t>i funkcjonowaniu funduszy emerytalnych</w:t>
            </w:r>
            <w:r w:rsidR="00C031F3" w:rsidRPr="00C031F3">
              <w:rPr>
                <w:sz w:val="22"/>
                <w:szCs w:val="22"/>
              </w:rPr>
              <w:t>.</w:t>
            </w:r>
          </w:p>
          <w:p w14:paraId="0B5BBD5E" w14:textId="77777777" w:rsidR="005D12A5" w:rsidRPr="009371AE" w:rsidRDefault="005D12A5" w:rsidP="009371AE">
            <w:pPr>
              <w:pStyle w:val="LITlitera"/>
              <w:spacing w:line="240" w:lineRule="auto"/>
              <w:ind w:left="34" w:firstLine="0"/>
              <w:rPr>
                <w:sz w:val="22"/>
                <w:szCs w:val="22"/>
              </w:rPr>
            </w:pPr>
          </w:p>
        </w:tc>
      </w:tr>
      <w:tr w:rsidR="006A701A" w:rsidRPr="008B4FE6" w14:paraId="596C1B04" w14:textId="77777777" w:rsidTr="005D4F24">
        <w:trPr>
          <w:trHeight w:val="307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1774083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D049912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auto"/>
          </w:tcPr>
          <w:p w14:paraId="23555E05" w14:textId="7928A469" w:rsidR="006A701A" w:rsidRPr="00FB1AC7" w:rsidRDefault="00DC5478" w:rsidP="00DC54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B1AC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  <w:r w:rsidR="00B210B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6A701A" w:rsidRPr="008B4FE6" w14:paraId="0EBF0A18" w14:textId="77777777" w:rsidTr="005D4F24">
        <w:trPr>
          <w:trHeight w:val="359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5471044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5468C" w:rsidRPr="008B4FE6" w14:paraId="6DF2BEBB" w14:textId="77777777" w:rsidTr="0036497E">
        <w:trPr>
          <w:trHeight w:val="142"/>
        </w:trPr>
        <w:tc>
          <w:tcPr>
            <w:tcW w:w="3545" w:type="dxa"/>
            <w:gridSpan w:val="6"/>
            <w:shd w:val="clear" w:color="auto" w:fill="auto"/>
          </w:tcPr>
          <w:p w14:paraId="51F2E17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6DC01BD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7DF82AB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48BB02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5468C" w:rsidRPr="008B4FE6" w14:paraId="085D741F" w14:textId="77777777" w:rsidTr="0036497E">
        <w:trPr>
          <w:trHeight w:val="1644"/>
        </w:trPr>
        <w:tc>
          <w:tcPr>
            <w:tcW w:w="3545" w:type="dxa"/>
            <w:gridSpan w:val="6"/>
            <w:shd w:val="clear" w:color="auto" w:fill="auto"/>
          </w:tcPr>
          <w:p w14:paraId="148C0CF7" w14:textId="5AE89D95" w:rsidR="00A22287" w:rsidRPr="00C625CE" w:rsidRDefault="00161C7A" w:rsidP="00AB52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Funkcjonariusze</w:t>
            </w:r>
            <w:r w:rsidR="00692DEF">
              <w:rPr>
                <w:rFonts w:ascii="Times New Roman" w:hAnsi="Times New Roman"/>
                <w:color w:val="000000"/>
                <w:spacing w:val="-2"/>
              </w:rPr>
              <w:t xml:space="preserve"> Policji, S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 xml:space="preserve">traży </w:t>
            </w:r>
            <w:r w:rsidR="00692DEF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>ranicznej</w:t>
            </w:r>
            <w:r w:rsidR="00692DEF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 xml:space="preserve">łużby 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 xml:space="preserve">chrony 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>aństwa</w:t>
            </w:r>
            <w:r w:rsidR="0036497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2DEF">
              <w:rPr>
                <w:rFonts w:ascii="Times New Roman" w:hAnsi="Times New Roman"/>
                <w:color w:val="000000"/>
                <w:spacing w:val="-2"/>
              </w:rPr>
              <w:t>i P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 xml:space="preserve">aństwowej </w:t>
            </w:r>
            <w:r w:rsidR="00692DEF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 xml:space="preserve">traży </w:t>
            </w:r>
            <w:r w:rsidR="00692DEF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F85EFF">
              <w:rPr>
                <w:rFonts w:ascii="Times New Roman" w:hAnsi="Times New Roman"/>
                <w:color w:val="000000"/>
                <w:spacing w:val="-2"/>
              </w:rPr>
              <w:t>ożarnej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którzy wstąpili do służby </w:t>
            </w:r>
            <w:r w:rsidR="0036497E">
              <w:rPr>
                <w:rFonts w:ascii="Times New Roman" w:hAnsi="Times New Roman"/>
                <w:color w:val="000000"/>
                <w:spacing w:val="-2"/>
              </w:rPr>
              <w:t xml:space="preserve">po raz pierwszy po dniu </w:t>
            </w:r>
            <w:r>
              <w:rPr>
                <w:rFonts w:ascii="Times New Roman" w:hAnsi="Times New Roman"/>
                <w:color w:val="000000"/>
                <w:spacing w:val="-2"/>
              </w:rPr>
              <w:t>1 stycznia 1999 r.</w:t>
            </w:r>
            <w:r w:rsidR="009371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36497E">
              <w:rPr>
                <w:rFonts w:ascii="Times New Roman" w:hAnsi="Times New Roman"/>
                <w:color w:val="000000"/>
                <w:spacing w:val="-2"/>
              </w:rPr>
              <w:br/>
            </w:r>
            <w:r w:rsidR="009371AE" w:rsidRPr="009371AE">
              <w:rPr>
                <w:rFonts w:ascii="Times New Roman" w:hAnsi="Times New Roman"/>
                <w:color w:val="000000"/>
                <w:spacing w:val="-2"/>
              </w:rPr>
              <w:t>a przed d</w:t>
            </w:r>
            <w:r w:rsidR="00D34101">
              <w:rPr>
                <w:rFonts w:ascii="Times New Roman" w:hAnsi="Times New Roman"/>
                <w:color w:val="000000"/>
                <w:spacing w:val="-2"/>
              </w:rPr>
              <w:t>niem 1 października 2003 r.</w:t>
            </w:r>
            <w:r w:rsidR="009371AE" w:rsidRPr="009371A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23773">
              <w:rPr>
                <w:rFonts w:ascii="Times New Roman" w:hAnsi="Times New Roman"/>
                <w:color w:val="000000"/>
                <w:spacing w:val="-2"/>
              </w:rPr>
              <w:br/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5BDA0B1D" w14:textId="77777777" w:rsidR="0032254A" w:rsidRPr="00C625CE" w:rsidRDefault="0032254A" w:rsidP="003225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około</w:t>
            </w:r>
            <w:r w:rsidR="0036497E">
              <w:rPr>
                <w:rFonts w:ascii="Times New Roman" w:hAnsi="Times New Roman"/>
                <w:color w:val="000000"/>
                <w:spacing w:val="-2"/>
              </w:rPr>
              <w:t xml:space="preserve"> 8</w:t>
            </w:r>
            <w:r w:rsidR="00722F51">
              <w:rPr>
                <w:rFonts w:ascii="Times New Roman" w:hAnsi="Times New Roman"/>
                <w:color w:val="000000"/>
                <w:spacing w:val="-2"/>
              </w:rPr>
              <w:t>,8</w:t>
            </w:r>
            <w:r w:rsidR="00D23773">
              <w:rPr>
                <w:rFonts w:ascii="Times New Roman" w:hAnsi="Times New Roman"/>
                <w:color w:val="000000"/>
                <w:spacing w:val="-2"/>
              </w:rPr>
              <w:t xml:space="preserve"> tys</w:t>
            </w:r>
            <w:r w:rsidR="00FC299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23773">
              <w:rPr>
                <w:rFonts w:ascii="Times New Roman" w:hAnsi="Times New Roman"/>
                <w:color w:val="000000"/>
                <w:spacing w:val="-2"/>
              </w:rPr>
              <w:t xml:space="preserve"> osób w okresie kolejnych 10 lat od wejścia w życie ustawy</w:t>
            </w:r>
            <w:r w:rsidR="00AB52E9" w:rsidRPr="009371A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B52E9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AB52E9" w:rsidRPr="009371AE">
              <w:rPr>
                <w:rFonts w:ascii="Times New Roman" w:hAnsi="Times New Roman"/>
                <w:color w:val="000000"/>
                <w:spacing w:val="-2"/>
              </w:rPr>
              <w:t xml:space="preserve">którzy posiadają </w:t>
            </w:r>
            <w:r w:rsidR="00AB52E9">
              <w:rPr>
                <w:rFonts w:ascii="Times New Roman" w:hAnsi="Times New Roman"/>
                <w:color w:val="000000"/>
                <w:spacing w:val="-2"/>
              </w:rPr>
              <w:t xml:space="preserve">co najmniej </w:t>
            </w:r>
            <w:r w:rsidR="00AB52E9" w:rsidRPr="009371AE">
              <w:rPr>
                <w:rFonts w:ascii="Times New Roman" w:hAnsi="Times New Roman"/>
                <w:color w:val="000000"/>
                <w:spacing w:val="-2"/>
              </w:rPr>
              <w:t>25 lat służby</w:t>
            </w:r>
            <w:r w:rsidR="00AB52E9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56E937E4" w14:textId="28F23386" w:rsidR="00260F33" w:rsidRDefault="006C46B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Zakład Emerytalno-Rentowy</w:t>
            </w:r>
            <w:r w:rsidR="00D23773" w:rsidRPr="00D23773">
              <w:rPr>
                <w:rFonts w:ascii="Times New Roman" w:hAnsi="Times New Roman"/>
                <w:color w:val="000000"/>
                <w:spacing w:val="-2"/>
              </w:rPr>
              <w:t xml:space="preserve"> MSW</w:t>
            </w:r>
            <w:r w:rsidR="00D34101">
              <w:rPr>
                <w:rFonts w:ascii="Times New Roman" w:hAnsi="Times New Roman"/>
                <w:color w:val="000000"/>
                <w:spacing w:val="-2"/>
              </w:rPr>
              <w:t>iA</w:t>
            </w:r>
            <w:r w:rsidR="00D23773" w:rsidRPr="00D23773">
              <w:rPr>
                <w:rFonts w:ascii="Times New Roman" w:hAnsi="Times New Roman"/>
                <w:color w:val="000000"/>
                <w:spacing w:val="-2"/>
              </w:rPr>
              <w:t xml:space="preserve"> – dane własne </w:t>
            </w:r>
            <w:r w:rsidR="00D23773">
              <w:rPr>
                <w:rFonts w:ascii="Times New Roman" w:hAnsi="Times New Roman"/>
                <w:color w:val="000000"/>
                <w:spacing w:val="-2"/>
              </w:rPr>
              <w:t>i i</w:t>
            </w:r>
            <w:r w:rsidR="0075468C">
              <w:rPr>
                <w:rFonts w:ascii="Times New Roman" w:hAnsi="Times New Roman"/>
                <w:color w:val="000000"/>
                <w:spacing w:val="-2"/>
              </w:rPr>
              <w:t>nformacje otrzymane z poszczególnych służb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 xml:space="preserve"> podległyc</w:t>
            </w:r>
            <w:r w:rsidR="0036497E">
              <w:rPr>
                <w:rFonts w:ascii="Times New Roman" w:hAnsi="Times New Roman"/>
                <w:color w:val="000000"/>
                <w:spacing w:val="-2"/>
              </w:rPr>
              <w:t xml:space="preserve">h Ministrowi Spraw Wewnętrznych 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>i Administracji</w:t>
            </w:r>
          </w:p>
          <w:p w14:paraId="4C12164C" w14:textId="77777777" w:rsidR="0032254A" w:rsidRPr="00C625CE" w:rsidRDefault="0032254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6CEE2DBC" w14:textId="77777777" w:rsidR="00260F33" w:rsidRPr="00C625CE" w:rsidRDefault="00435BA5" w:rsidP="00A222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</w:t>
            </w:r>
            <w:r w:rsidR="0075468C">
              <w:rPr>
                <w:rFonts w:ascii="Times New Roman" w:hAnsi="Times New Roman"/>
                <w:color w:val="000000"/>
                <w:spacing w:val="-2"/>
              </w:rPr>
              <w:t xml:space="preserve">nie – możliwość doliczania do wysługi emerytalnej 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 xml:space="preserve">tzw. </w:t>
            </w:r>
            <w:r w:rsidR="0075468C">
              <w:rPr>
                <w:rFonts w:ascii="Times New Roman" w:hAnsi="Times New Roman"/>
                <w:color w:val="000000"/>
                <w:spacing w:val="-2"/>
              </w:rPr>
              <w:t xml:space="preserve">okresów pracy </w:t>
            </w:r>
            <w:r w:rsidR="0032254A">
              <w:rPr>
                <w:rFonts w:ascii="Times New Roman" w:hAnsi="Times New Roman"/>
                <w:color w:val="000000"/>
                <w:spacing w:val="-2"/>
              </w:rPr>
              <w:t xml:space="preserve">cywilnej </w:t>
            </w:r>
            <w:r w:rsidR="0036497E">
              <w:rPr>
                <w:rFonts w:ascii="Times New Roman" w:hAnsi="Times New Roman"/>
                <w:color w:val="000000"/>
                <w:spacing w:val="-2"/>
              </w:rPr>
              <w:t>na zasadach wskazanych w pkt</w:t>
            </w:r>
            <w:r w:rsidR="0075468C">
              <w:rPr>
                <w:rFonts w:ascii="Times New Roman" w:hAnsi="Times New Roman"/>
                <w:color w:val="000000"/>
                <w:spacing w:val="-2"/>
              </w:rPr>
              <w:t xml:space="preserve"> 2 OSR </w:t>
            </w:r>
          </w:p>
        </w:tc>
      </w:tr>
      <w:tr w:rsidR="006A701A" w:rsidRPr="008B4FE6" w14:paraId="1D84C79D" w14:textId="77777777" w:rsidTr="005D4F24">
        <w:trPr>
          <w:trHeight w:val="302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043C6F41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28530D2" w14:textId="77777777" w:rsidTr="005D4F24">
        <w:trPr>
          <w:trHeight w:val="342"/>
        </w:trPr>
        <w:tc>
          <w:tcPr>
            <w:tcW w:w="11057" w:type="dxa"/>
            <w:gridSpan w:val="25"/>
            <w:shd w:val="clear" w:color="auto" w:fill="FFFFFF"/>
          </w:tcPr>
          <w:p w14:paraId="09EA91F4" w14:textId="27384E2D" w:rsidR="00C2273A" w:rsidRDefault="00C2273A" w:rsidP="00C2273A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</w:t>
            </w:r>
            <w:r w:rsidR="00B210B5">
              <w:rPr>
                <w:rFonts w:ascii="Times New Roman" w:hAnsi="Times New Roman"/>
                <w:spacing w:val="-2"/>
              </w:rPr>
              <w:t xml:space="preserve">ustawy </w:t>
            </w:r>
            <w:r>
              <w:rPr>
                <w:rFonts w:ascii="Times New Roman" w:hAnsi="Times New Roman"/>
                <w:spacing w:val="-2"/>
              </w:rPr>
              <w:t>zostanie</w:t>
            </w:r>
            <w:r w:rsidRPr="007D0BA0">
              <w:rPr>
                <w:rFonts w:ascii="Times New Roman" w:hAnsi="Times New Roman"/>
                <w:spacing w:val="-2"/>
              </w:rPr>
              <w:t xml:space="preserve"> udostępniony w Biuletynie Informacji Publicznej Rządowego Centrum Legislacji, stosownie do wymogów art.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7D0BA0">
              <w:rPr>
                <w:rFonts w:ascii="Times New Roman" w:hAnsi="Times New Roman"/>
                <w:spacing w:val="-2"/>
              </w:rPr>
              <w:t>5 ustawy z dnia 7 lipca 2005 r. o działalności lobbingowej w procesie stanowienia prawa oraz zgodnie z § 52 ust. 1 uchwały Rady Ministrów z dnia 29 października 2013 r. –</w:t>
            </w:r>
            <w:r>
              <w:rPr>
                <w:rFonts w:ascii="Times New Roman" w:hAnsi="Times New Roman"/>
                <w:spacing w:val="-2"/>
              </w:rPr>
              <w:t xml:space="preserve"> Regulamin pracy Rady Ministrów.</w:t>
            </w:r>
          </w:p>
          <w:p w14:paraId="7C160678" w14:textId="77777777" w:rsidR="009663CF" w:rsidRPr="007D0BA0" w:rsidRDefault="009663CF" w:rsidP="00C2273A">
            <w:pPr>
              <w:jc w:val="both"/>
              <w:rPr>
                <w:rFonts w:ascii="Times New Roman" w:hAnsi="Times New Roman"/>
                <w:spacing w:val="-2"/>
              </w:rPr>
            </w:pPr>
          </w:p>
          <w:p w14:paraId="5CAD36A4" w14:textId="361BDBE8" w:rsidR="00166B3A" w:rsidRDefault="00DE5D36" w:rsidP="003A22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0BA0">
              <w:rPr>
                <w:rFonts w:ascii="Times New Roman" w:hAnsi="Times New Roman"/>
                <w:spacing w:val="-2"/>
              </w:rPr>
              <w:t xml:space="preserve">Projekt </w:t>
            </w:r>
            <w:r w:rsidR="00B210B5">
              <w:rPr>
                <w:rFonts w:ascii="Times New Roman" w:hAnsi="Times New Roman"/>
                <w:spacing w:val="-2"/>
              </w:rPr>
              <w:t xml:space="preserve">ustawy </w:t>
            </w:r>
            <w:r>
              <w:rPr>
                <w:rFonts w:ascii="Times New Roman" w:hAnsi="Times New Roman"/>
                <w:spacing w:val="-2"/>
              </w:rPr>
              <w:t>zostanie przekazany do</w:t>
            </w:r>
            <w:r w:rsidRPr="007D0BA0">
              <w:rPr>
                <w:rFonts w:ascii="Times New Roman" w:hAnsi="Times New Roman"/>
                <w:spacing w:val="-2"/>
              </w:rPr>
              <w:t xml:space="preserve"> konsult</w:t>
            </w:r>
            <w:r>
              <w:rPr>
                <w:rFonts w:ascii="Times New Roman" w:hAnsi="Times New Roman"/>
                <w:spacing w:val="-2"/>
              </w:rPr>
              <w:t xml:space="preserve">acji </w:t>
            </w:r>
            <w:r w:rsidRPr="007D0BA0">
              <w:rPr>
                <w:rFonts w:ascii="Times New Roman" w:hAnsi="Times New Roman"/>
                <w:spacing w:val="-2"/>
              </w:rPr>
              <w:t xml:space="preserve">z: Niezależnym Samorządnym Związkiem Zawodowym Policjantów, Krajową Sekcją Pożarnictwa NSZZ „Solidarność”, Związkiem Zawodowym Strażaków „FLORIAN”, Niezależnym Samorządnym Związkiem Zawodowym Pracowników Pożarnictwa oraz Niezależnym Samorządnym Związkiem Zawodowym Funkcjonariuszy Straży </w:t>
            </w:r>
            <w:r w:rsidRPr="00DE5D36">
              <w:rPr>
                <w:rFonts w:ascii="Times New Roman" w:hAnsi="Times New Roman"/>
                <w:spacing w:val="-2"/>
              </w:rPr>
              <w:t xml:space="preserve">Granicznej. </w:t>
            </w:r>
            <w:r w:rsidR="00C031F3" w:rsidRPr="00DE5D36">
              <w:rPr>
                <w:rFonts w:ascii="Times New Roman" w:hAnsi="Times New Roman"/>
              </w:rPr>
              <w:t>Wyniki konsultacji zostaną omówione po ich przeprowadzeniu.</w:t>
            </w:r>
          </w:p>
          <w:p w14:paraId="70EEC194" w14:textId="77777777" w:rsidR="009663CF" w:rsidRPr="003A22D6" w:rsidRDefault="009663CF" w:rsidP="003A22D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A701A" w:rsidRPr="008B4FE6" w14:paraId="39E4E57E" w14:textId="77777777" w:rsidTr="005D4F24">
        <w:trPr>
          <w:trHeight w:val="363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1AAEAB0E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2C38F4FD" w14:textId="77777777" w:rsidTr="005D4F24">
        <w:trPr>
          <w:trHeight w:val="142"/>
        </w:trPr>
        <w:tc>
          <w:tcPr>
            <w:tcW w:w="1953" w:type="dxa"/>
            <w:gridSpan w:val="2"/>
            <w:vMerge w:val="restart"/>
            <w:shd w:val="clear" w:color="auto" w:fill="FFFFFF"/>
          </w:tcPr>
          <w:p w14:paraId="1D44EF76" w14:textId="637266F4" w:rsidR="00260F33" w:rsidRPr="00C53F26" w:rsidRDefault="00821717" w:rsidP="006909D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="002576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6909D8">
              <w:rPr>
                <w:rFonts w:ascii="Times New Roman" w:hAnsi="Times New Roman"/>
                <w:color w:val="000000"/>
                <w:sz w:val="21"/>
                <w:szCs w:val="21"/>
              </w:rPr>
              <w:t>…….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9104" w:type="dxa"/>
            <w:gridSpan w:val="23"/>
            <w:shd w:val="clear" w:color="auto" w:fill="FFFFFF"/>
          </w:tcPr>
          <w:p w14:paraId="78A34FCA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A4406E" w:rsidRPr="008B4FE6" w14:paraId="0955FCAA" w14:textId="77777777" w:rsidTr="00A4406E">
        <w:trPr>
          <w:trHeight w:val="142"/>
        </w:trPr>
        <w:tc>
          <w:tcPr>
            <w:tcW w:w="1953" w:type="dxa"/>
            <w:gridSpan w:val="2"/>
            <w:vMerge/>
            <w:shd w:val="clear" w:color="auto" w:fill="FFFFFF"/>
          </w:tcPr>
          <w:p w14:paraId="201B6A73" w14:textId="77777777" w:rsidR="00A4406E" w:rsidRPr="00C53F26" w:rsidRDefault="00A4406E" w:rsidP="00A4406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shd w:val="clear" w:color="auto" w:fill="FFFFFF"/>
          </w:tcPr>
          <w:p w14:paraId="56CF7DC4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7118A6AF" w14:textId="77777777" w:rsidR="00A4406E" w:rsidRPr="002E49F6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(2020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567" w:type="dxa"/>
            <w:shd w:val="clear" w:color="auto" w:fill="FFFFFF"/>
          </w:tcPr>
          <w:p w14:paraId="59BF89A6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14:paraId="24108BBC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9CD6A63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14:paraId="48772F8E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F684164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14:paraId="7DA154E5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142BE8B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68949CF5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8564144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14:paraId="10129483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3D83205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14:paraId="0803A7C9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2026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F4885D1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 w14:paraId="6C425473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2027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850" w:type="dxa"/>
            <w:shd w:val="clear" w:color="auto" w:fill="FFFFFF"/>
          </w:tcPr>
          <w:p w14:paraId="47AEC274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 w14:paraId="1666AD97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2028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851" w:type="dxa"/>
            <w:shd w:val="clear" w:color="auto" w:fill="FFFFFF"/>
          </w:tcPr>
          <w:p w14:paraId="7C1E3E56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14:paraId="2F4A6A32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2029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4D8CADE" w14:textId="77777777" w:rsidR="00A4406E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7A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  <w:p w14:paraId="1BEB8429" w14:textId="77777777" w:rsidR="00A4406E" w:rsidRPr="00587A07" w:rsidRDefault="00A4406E" w:rsidP="00A440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2030</w:t>
            </w:r>
            <w:r w:rsidRPr="002E49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r.)</w:t>
            </w:r>
          </w:p>
        </w:tc>
        <w:tc>
          <w:tcPr>
            <w:tcW w:w="992" w:type="dxa"/>
            <w:shd w:val="clear" w:color="auto" w:fill="FFFFFF"/>
          </w:tcPr>
          <w:p w14:paraId="3539E6BF" w14:textId="77777777" w:rsidR="00A4406E" w:rsidRPr="00C53F26" w:rsidRDefault="00A4406E" w:rsidP="00A4406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411924" w:rsidRPr="008B4FE6" w14:paraId="69DA8C8E" w14:textId="77777777" w:rsidTr="00E1481D">
        <w:trPr>
          <w:trHeight w:val="321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42CABFFA" w14:textId="77777777" w:rsidR="00411924" w:rsidRPr="00C53F26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99" w:type="dxa"/>
            <w:shd w:val="clear" w:color="auto" w:fill="FFFFFF"/>
          </w:tcPr>
          <w:p w14:paraId="7733B8D4" w14:textId="50FCD453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16468325" w14:textId="1EE5BEF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A21EC19" w14:textId="754B7B4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26B43C2" w14:textId="55550ED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8137106" w14:textId="3B27DF72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1,187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CE3BD49" w14:textId="03B3E3DF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07E165A7" w14:textId="2739921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3,483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6D0559C2" w14:textId="66A753E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5,139</w:t>
            </w:r>
          </w:p>
        </w:tc>
        <w:tc>
          <w:tcPr>
            <w:tcW w:w="850" w:type="dxa"/>
            <w:shd w:val="clear" w:color="auto" w:fill="FFFFFF"/>
          </w:tcPr>
          <w:p w14:paraId="01515A1F" w14:textId="3C4A97F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6,587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28FB0771" w14:textId="14B3B5E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41594C06" w14:textId="4D56C92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9,039</w:t>
            </w:r>
          </w:p>
        </w:tc>
        <w:tc>
          <w:tcPr>
            <w:tcW w:w="992" w:type="dxa"/>
            <w:shd w:val="clear" w:color="auto" w:fill="FFFFFF"/>
          </w:tcPr>
          <w:p w14:paraId="19C65C95" w14:textId="156F62F1" w:rsidR="00411924" w:rsidRPr="00411924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36,011</w:t>
            </w:r>
          </w:p>
        </w:tc>
      </w:tr>
      <w:tr w:rsidR="00411924" w:rsidRPr="008B4FE6" w14:paraId="0C04C11B" w14:textId="77777777" w:rsidTr="00E1481D">
        <w:trPr>
          <w:trHeight w:val="321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004F07EB" w14:textId="77777777" w:rsidR="00411924" w:rsidRPr="00C53F26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99" w:type="dxa"/>
            <w:shd w:val="clear" w:color="auto" w:fill="FFFFFF"/>
          </w:tcPr>
          <w:p w14:paraId="72EF7E29" w14:textId="3AE759BD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68C7E926" w14:textId="5E699E97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8484194" w14:textId="0351770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67089E62" w14:textId="675AA6C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0B10AB7" w14:textId="1BBCE4D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2F4E4A6" w14:textId="38A460C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77F489CB" w14:textId="152092A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B573A9C" w14:textId="1DA5B4A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1,272</w:t>
            </w:r>
          </w:p>
        </w:tc>
        <w:tc>
          <w:tcPr>
            <w:tcW w:w="850" w:type="dxa"/>
            <w:shd w:val="clear" w:color="auto" w:fill="FFFFFF"/>
          </w:tcPr>
          <w:p w14:paraId="5C707B44" w14:textId="791145A8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851" w:type="dxa"/>
            <w:shd w:val="clear" w:color="auto" w:fill="FFFFFF"/>
          </w:tcPr>
          <w:p w14:paraId="6235BEA3" w14:textId="26AA450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1,954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2DF5260" w14:textId="6D27E9D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2,236</w:t>
            </w:r>
          </w:p>
        </w:tc>
        <w:tc>
          <w:tcPr>
            <w:tcW w:w="992" w:type="dxa"/>
            <w:shd w:val="clear" w:color="auto" w:fill="FFFFFF"/>
          </w:tcPr>
          <w:p w14:paraId="0C67FA94" w14:textId="2F4319C7" w:rsidR="00411924" w:rsidRPr="00411924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8,909</w:t>
            </w:r>
          </w:p>
        </w:tc>
      </w:tr>
      <w:tr w:rsidR="00411924" w:rsidRPr="008B4FE6" w14:paraId="2D4D2CB7" w14:textId="77777777" w:rsidTr="00E1481D">
        <w:trPr>
          <w:trHeight w:val="344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2D70EB45" w14:textId="77777777" w:rsidR="00411924" w:rsidRPr="00C53F26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99" w:type="dxa"/>
            <w:shd w:val="clear" w:color="auto" w:fill="FFFFFF"/>
          </w:tcPr>
          <w:p w14:paraId="5FFE9453" w14:textId="06985877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448D2153" w14:textId="4A07A85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5443994" w14:textId="47C6B33F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561C718" w14:textId="32056D3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1FC5F4" w14:textId="153C39F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4F9DA24" w14:textId="42878D4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503248E8" w14:textId="65445FA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3423BE1B" w14:textId="0B1712C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850" w:type="dxa"/>
            <w:shd w:val="clear" w:color="auto" w:fill="FFFFFF"/>
          </w:tcPr>
          <w:p w14:paraId="5A40D2C5" w14:textId="0F37B56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851" w:type="dxa"/>
            <w:shd w:val="clear" w:color="auto" w:fill="FFFFFF"/>
          </w:tcPr>
          <w:p w14:paraId="03E2BBEB" w14:textId="67372634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2,049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C4FCC83" w14:textId="49C1876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2,346</w:t>
            </w:r>
          </w:p>
        </w:tc>
        <w:tc>
          <w:tcPr>
            <w:tcW w:w="992" w:type="dxa"/>
            <w:shd w:val="clear" w:color="auto" w:fill="FFFFFF"/>
          </w:tcPr>
          <w:p w14:paraId="0C658287" w14:textId="20749DEA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9,344</w:t>
            </w:r>
          </w:p>
        </w:tc>
      </w:tr>
      <w:tr w:rsidR="00411924" w:rsidRPr="008B4FE6" w14:paraId="09916ED2" w14:textId="77777777" w:rsidTr="00E1481D">
        <w:trPr>
          <w:trHeight w:val="344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04B940C0" w14:textId="77777777" w:rsidR="00411924" w:rsidRPr="00C53F26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NFZ</w:t>
            </w:r>
          </w:p>
        </w:tc>
        <w:tc>
          <w:tcPr>
            <w:tcW w:w="599" w:type="dxa"/>
            <w:shd w:val="clear" w:color="auto" w:fill="FFFFFF"/>
          </w:tcPr>
          <w:p w14:paraId="51F5B82D" w14:textId="06C544E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5AA7798D" w14:textId="395A07DD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5EF02F1" w14:textId="5AB7C62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D50C6E6" w14:textId="473196B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EEB15E2" w14:textId="546FA6B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BB35F02" w14:textId="5A5BE28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0B50BCC0" w14:textId="120ED873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1,718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3365D03E" w14:textId="5E92611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2,534</w:t>
            </w:r>
          </w:p>
        </w:tc>
        <w:tc>
          <w:tcPr>
            <w:tcW w:w="850" w:type="dxa"/>
            <w:shd w:val="clear" w:color="auto" w:fill="FFFFFF"/>
          </w:tcPr>
          <w:p w14:paraId="63F2A0BB" w14:textId="30A444E4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3,248</w:t>
            </w:r>
          </w:p>
        </w:tc>
        <w:tc>
          <w:tcPr>
            <w:tcW w:w="851" w:type="dxa"/>
            <w:shd w:val="clear" w:color="auto" w:fill="FFFFFF"/>
          </w:tcPr>
          <w:p w14:paraId="6E0D0756" w14:textId="28F3B0E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3,895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4DF738B" w14:textId="27D5573F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4,457</w:t>
            </w:r>
          </w:p>
        </w:tc>
        <w:tc>
          <w:tcPr>
            <w:tcW w:w="992" w:type="dxa"/>
            <w:shd w:val="clear" w:color="auto" w:fill="FFFFFF"/>
          </w:tcPr>
          <w:p w14:paraId="0B60545F" w14:textId="3E80C582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17,758</w:t>
            </w:r>
          </w:p>
        </w:tc>
      </w:tr>
      <w:tr w:rsidR="00D86F59" w:rsidRPr="00316879" w14:paraId="4DAFB14D" w14:textId="77777777" w:rsidTr="00A4406E">
        <w:trPr>
          <w:trHeight w:val="330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2B552B82" w14:textId="77777777" w:rsidR="0057668E" w:rsidRPr="0031687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687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99" w:type="dxa"/>
            <w:shd w:val="clear" w:color="auto" w:fill="FFFFFF"/>
            <w:noWrap/>
            <w:tcMar>
              <w:left w:w="0" w:type="dxa"/>
              <w:right w:w="28" w:type="dxa"/>
            </w:tcMar>
            <w:vAlign w:val="center"/>
          </w:tcPr>
          <w:p w14:paraId="7D72DD0F" w14:textId="77777777" w:rsidR="0057668E" w:rsidRPr="00705CB2" w:rsidRDefault="003008F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A97898D" w14:textId="77777777" w:rsidR="0057668E" w:rsidRPr="00705CB2" w:rsidRDefault="003008F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284BEDC" w14:textId="77777777" w:rsidR="0057668E" w:rsidRPr="00705CB2" w:rsidRDefault="003008F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99AF98E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2,305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648B2F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6,507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3C78AB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12,366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EE15DC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19,082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C95551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28,159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DAC755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36,094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1E0FF3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43,277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56B1B9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49,528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9ECD4E2" w14:textId="77777777" w:rsidR="0057668E" w:rsidRPr="00705CB2" w:rsidRDefault="00394D0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197,318</w:t>
            </w:r>
          </w:p>
        </w:tc>
      </w:tr>
      <w:tr w:rsidR="00411924" w:rsidRPr="00316879" w14:paraId="41D785C0" w14:textId="77777777" w:rsidTr="00E1481D">
        <w:trPr>
          <w:trHeight w:val="330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6831B096" w14:textId="77777777" w:rsidR="00411924" w:rsidRPr="00316879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6879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99" w:type="dxa"/>
            <w:shd w:val="clear" w:color="auto" w:fill="FFFFFF"/>
            <w:noWrap/>
            <w:tcMar>
              <w:left w:w="0" w:type="dxa"/>
              <w:right w:w="28" w:type="dxa"/>
            </w:tcMar>
          </w:tcPr>
          <w:p w14:paraId="55504D9F" w14:textId="1BFDFB1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</w:tcPr>
          <w:p w14:paraId="04BEB285" w14:textId="2B82E78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22D33F0E" w14:textId="75EAA6F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1D26D268" w14:textId="576BC613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2,305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75629CD8" w14:textId="346B7B4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6,507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63280C18" w14:textId="5FDA177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12,366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1264D7DA" w14:textId="4D3B66C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19,082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41B98596" w14:textId="5B8360D7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28,159</w:t>
            </w:r>
          </w:p>
        </w:tc>
        <w:tc>
          <w:tcPr>
            <w:tcW w:w="850" w:type="dxa"/>
            <w:shd w:val="clear" w:color="auto" w:fill="FFFFFF"/>
            <w:tcMar>
              <w:left w:w="28" w:type="dxa"/>
              <w:right w:w="28" w:type="dxa"/>
            </w:tcMar>
          </w:tcPr>
          <w:p w14:paraId="05469899" w14:textId="24E88DE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36,094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14:paraId="0058D58A" w14:textId="581D25C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43,277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6B04CC32" w14:textId="117D7B14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49,528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14:paraId="321A9BCB" w14:textId="689D87B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197,318</w:t>
            </w:r>
          </w:p>
        </w:tc>
      </w:tr>
      <w:tr w:rsidR="00D86F59" w:rsidRPr="00316879" w14:paraId="5B89CB99" w14:textId="77777777" w:rsidTr="00A4406E">
        <w:trPr>
          <w:trHeight w:val="351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0432E9C6" w14:textId="77777777" w:rsidR="0057668E" w:rsidRPr="0031687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6879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99" w:type="dxa"/>
            <w:shd w:val="clear" w:color="auto" w:fill="FFFFFF"/>
            <w:noWrap/>
            <w:vAlign w:val="center"/>
          </w:tcPr>
          <w:p w14:paraId="303F0E4C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144A61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B766418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37EAEC79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A7EAC42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8A332B2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7DCC4E3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B79F36F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07CC14A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101729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D5573A8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42E64D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86F59" w:rsidRPr="00316879" w14:paraId="79C93523" w14:textId="77777777" w:rsidTr="00A4406E">
        <w:trPr>
          <w:trHeight w:val="351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50548C31" w14:textId="77777777" w:rsidR="0057668E" w:rsidRPr="0031687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6879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 w:rsidR="00A20E8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9" w:type="dxa"/>
            <w:shd w:val="clear" w:color="auto" w:fill="FFFFFF"/>
            <w:noWrap/>
            <w:vAlign w:val="center"/>
          </w:tcPr>
          <w:p w14:paraId="56931BF3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A4258C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84157C3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4DD07688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1601D11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F47F0F6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5F3FAC3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6BE7EC2B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5C2BF3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0EECB5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99BB705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C8F76F" w14:textId="77777777" w:rsidR="0057668E" w:rsidRPr="00705CB2" w:rsidRDefault="00A20E88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1924" w:rsidRPr="00316879" w14:paraId="0FE569AC" w14:textId="77777777" w:rsidTr="00E1481D">
        <w:trPr>
          <w:trHeight w:val="360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37087B6C" w14:textId="77777777" w:rsidR="00411924" w:rsidRPr="00316879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687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99" w:type="dxa"/>
            <w:shd w:val="clear" w:color="auto" w:fill="FFFFFF"/>
            <w:noWrap/>
            <w:tcMar>
              <w:left w:w="0" w:type="dxa"/>
              <w:right w:w="0" w:type="dxa"/>
            </w:tcMar>
          </w:tcPr>
          <w:p w14:paraId="5B73B3E0" w14:textId="4114BF5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14:paraId="00C889D2" w14:textId="0D602EF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285BF0EB" w14:textId="0CE2C4E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6A36209D" w14:textId="29B8FDF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-1,884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398E2A0C" w14:textId="152DF42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-5,320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1DEFEC06" w14:textId="593043A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-10,109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183E579B" w14:textId="667164B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-15,599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2AB39C58" w14:textId="558456A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-23,020</w:t>
            </w:r>
          </w:p>
        </w:tc>
        <w:tc>
          <w:tcPr>
            <w:tcW w:w="850" w:type="dxa"/>
            <w:shd w:val="clear" w:color="auto" w:fill="FFFFFF"/>
            <w:tcMar>
              <w:left w:w="0" w:type="dxa"/>
              <w:right w:w="0" w:type="dxa"/>
            </w:tcMar>
          </w:tcPr>
          <w:p w14:paraId="478196F0" w14:textId="3A2F3AD2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-29,507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14:paraId="51884D27" w14:textId="5EF971C8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-35,379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7504B472" w14:textId="6214AF4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-40,489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14:paraId="508B6D1A" w14:textId="542E1874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-161,307</w:t>
            </w:r>
          </w:p>
        </w:tc>
      </w:tr>
      <w:tr w:rsidR="00411924" w:rsidRPr="00411924" w14:paraId="2B9FF511" w14:textId="77777777" w:rsidTr="00E1481D">
        <w:trPr>
          <w:trHeight w:val="360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6F139C2F" w14:textId="77777777" w:rsidR="00411924" w:rsidRPr="00316879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6879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99" w:type="dxa"/>
            <w:shd w:val="clear" w:color="auto" w:fill="FFFFFF"/>
            <w:noWrap/>
            <w:tcMar>
              <w:left w:w="0" w:type="dxa"/>
              <w:right w:w="0" w:type="dxa"/>
            </w:tcMar>
          </w:tcPr>
          <w:p w14:paraId="5E5BB9D3" w14:textId="1DBD8858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14:paraId="7FF4AC24" w14:textId="111EEC4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687CCEC5" w14:textId="3A704B58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171558C6" w14:textId="706E8F7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-2,201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28FB6B6A" w14:textId="44BA18B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-6,213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50547FEC" w14:textId="5D17B31F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-11,808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54BC6656" w14:textId="2CC64818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-18,221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5AAED6C5" w14:textId="20C4D551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-26,887</w:t>
            </w:r>
          </w:p>
        </w:tc>
        <w:tc>
          <w:tcPr>
            <w:tcW w:w="850" w:type="dxa"/>
            <w:shd w:val="clear" w:color="auto" w:fill="FFFFFF"/>
            <w:tcMar>
              <w:left w:w="0" w:type="dxa"/>
              <w:right w:w="0" w:type="dxa"/>
            </w:tcMar>
          </w:tcPr>
          <w:p w14:paraId="00722221" w14:textId="1D6E806F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-34,464</w:t>
            </w:r>
          </w:p>
        </w:tc>
        <w:tc>
          <w:tcPr>
            <w:tcW w:w="851" w:type="dxa"/>
            <w:shd w:val="clear" w:color="auto" w:fill="FFFFFF"/>
            <w:tcMar>
              <w:left w:w="0" w:type="dxa"/>
              <w:right w:w="0" w:type="dxa"/>
            </w:tcMar>
          </w:tcPr>
          <w:p w14:paraId="3594084E" w14:textId="7F85ED3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-41,323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0B0F7AA6" w14:textId="64B08D6F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-47,292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</w:tcPr>
          <w:p w14:paraId="6BE0D6DE" w14:textId="7089AB2D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-188,409</w:t>
            </w:r>
          </w:p>
        </w:tc>
      </w:tr>
      <w:tr w:rsidR="00411924" w:rsidRPr="008B4FE6" w14:paraId="40A439E9" w14:textId="77777777" w:rsidTr="00E1481D">
        <w:trPr>
          <w:trHeight w:val="357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32894EBD" w14:textId="77777777" w:rsidR="00411924" w:rsidRPr="00C53F26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99" w:type="dxa"/>
            <w:shd w:val="clear" w:color="auto" w:fill="FFFFFF"/>
          </w:tcPr>
          <w:p w14:paraId="589E8006" w14:textId="3E16135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53A25E70" w14:textId="18E5F38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70DDCFC" w14:textId="4F1A10C0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9E3716A" w14:textId="32E34D74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5829605" w14:textId="551F3AA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DC22598" w14:textId="2A1AC907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0C2901BA" w14:textId="609EE4A3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C33F751" w14:textId="4AB62BEA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850" w:type="dxa"/>
            <w:shd w:val="clear" w:color="auto" w:fill="FFFFFF"/>
          </w:tcPr>
          <w:p w14:paraId="10A3A17D" w14:textId="49BF7CA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851" w:type="dxa"/>
            <w:shd w:val="clear" w:color="auto" w:fill="FFFFFF"/>
          </w:tcPr>
          <w:p w14:paraId="707701B0" w14:textId="521E3244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2,049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088AF81" w14:textId="6B7B307E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2,346</w:t>
            </w:r>
          </w:p>
        </w:tc>
        <w:tc>
          <w:tcPr>
            <w:tcW w:w="992" w:type="dxa"/>
            <w:shd w:val="clear" w:color="auto" w:fill="FFFFFF"/>
          </w:tcPr>
          <w:p w14:paraId="36C1B75D" w14:textId="7000512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9,344</w:t>
            </w:r>
          </w:p>
        </w:tc>
      </w:tr>
      <w:tr w:rsidR="00411924" w:rsidRPr="008B4FE6" w14:paraId="7AD0DD00" w14:textId="77777777" w:rsidTr="00E1481D">
        <w:trPr>
          <w:trHeight w:val="357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774E724A" w14:textId="77777777" w:rsidR="00411924" w:rsidRPr="00C53F26" w:rsidRDefault="00411924" w:rsidP="0041192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NFZ</w:t>
            </w:r>
          </w:p>
        </w:tc>
        <w:tc>
          <w:tcPr>
            <w:tcW w:w="599" w:type="dxa"/>
            <w:shd w:val="clear" w:color="auto" w:fill="FFFFFF"/>
          </w:tcPr>
          <w:p w14:paraId="17836823" w14:textId="7216BFF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273EC5E2" w14:textId="67D7F6B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E3A274D" w14:textId="714DB813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802714B" w14:textId="2AB575E9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0C10630" w14:textId="0E79384D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8174543" w14:textId="5B718E7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5FC915C5" w14:textId="2E73DA7A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1,718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40551F20" w14:textId="2D915356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2,534</w:t>
            </w:r>
          </w:p>
        </w:tc>
        <w:tc>
          <w:tcPr>
            <w:tcW w:w="850" w:type="dxa"/>
            <w:shd w:val="clear" w:color="auto" w:fill="FFFFFF"/>
          </w:tcPr>
          <w:p w14:paraId="1C97F26F" w14:textId="3B36DBFD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3,248</w:t>
            </w:r>
          </w:p>
        </w:tc>
        <w:tc>
          <w:tcPr>
            <w:tcW w:w="851" w:type="dxa"/>
            <w:shd w:val="clear" w:color="auto" w:fill="FFFFFF"/>
          </w:tcPr>
          <w:p w14:paraId="0C3C3DB5" w14:textId="42A25945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3,895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E17F0C3" w14:textId="6947762B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4,457</w:t>
            </w:r>
          </w:p>
        </w:tc>
        <w:tc>
          <w:tcPr>
            <w:tcW w:w="992" w:type="dxa"/>
            <w:shd w:val="clear" w:color="auto" w:fill="FFFFFF"/>
          </w:tcPr>
          <w:p w14:paraId="777C68E4" w14:textId="758D421C" w:rsidR="00411924" w:rsidRPr="00705CB2" w:rsidRDefault="00411924" w:rsidP="00062E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924">
              <w:rPr>
                <w:rFonts w:ascii="Times New Roman" w:hAnsi="Times New Roman"/>
                <w:color w:val="000000"/>
                <w:sz w:val="20"/>
                <w:szCs w:val="20"/>
              </w:rPr>
              <w:t>17,758</w:t>
            </w:r>
          </w:p>
        </w:tc>
      </w:tr>
      <w:tr w:rsidR="006A701A" w:rsidRPr="008B4FE6" w14:paraId="4E5D68E7" w14:textId="77777777" w:rsidTr="005D4F24">
        <w:trPr>
          <w:trHeight w:val="348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39BB31AD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104" w:type="dxa"/>
            <w:gridSpan w:val="23"/>
            <w:shd w:val="clear" w:color="auto" w:fill="FFFFFF"/>
            <w:vAlign w:val="center"/>
          </w:tcPr>
          <w:p w14:paraId="5D6D8A3F" w14:textId="17909E5F" w:rsidR="00D34101" w:rsidRPr="00D34101" w:rsidRDefault="00AA2123" w:rsidP="00D252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2123">
              <w:rPr>
                <w:rFonts w:ascii="Times New Roman" w:hAnsi="Times New Roman"/>
                <w:color w:val="000000"/>
              </w:rPr>
              <w:t>Środki związane z finansowaniem świadczeń z zaopatrzenia emerytalnego służb mundurowych</w:t>
            </w:r>
            <w:r w:rsidR="00E80D16">
              <w:rPr>
                <w:rFonts w:ascii="Times New Roman" w:hAnsi="Times New Roman"/>
                <w:color w:val="000000"/>
              </w:rPr>
              <w:t xml:space="preserve"> wypłacanych przez </w:t>
            </w:r>
            <w:r w:rsidR="006C46B9">
              <w:rPr>
                <w:rFonts w:ascii="Times New Roman" w:hAnsi="Times New Roman"/>
              </w:rPr>
              <w:t>Zakład Emerytalno-Rentowy</w:t>
            </w:r>
            <w:r w:rsidR="00E80D16">
              <w:rPr>
                <w:rFonts w:ascii="Times New Roman" w:hAnsi="Times New Roman"/>
                <w:color w:val="000000"/>
              </w:rPr>
              <w:t xml:space="preserve"> MSWiA</w:t>
            </w:r>
            <w:r w:rsidR="00103C38">
              <w:rPr>
                <w:rFonts w:ascii="Times New Roman" w:hAnsi="Times New Roman"/>
                <w:color w:val="000000"/>
              </w:rPr>
              <w:t xml:space="preserve"> określone są w części 42 - Sprawy wewnętrzne</w:t>
            </w:r>
            <w:r w:rsidRPr="00AA2123">
              <w:rPr>
                <w:rFonts w:ascii="Times New Roman" w:hAnsi="Times New Roman"/>
                <w:color w:val="000000"/>
              </w:rPr>
              <w:t xml:space="preserve"> w dziale 753 </w:t>
            </w:r>
            <w:r w:rsidR="00103C38">
              <w:rPr>
                <w:rFonts w:ascii="Times New Roman" w:hAnsi="Times New Roman"/>
                <w:color w:val="000000"/>
              </w:rPr>
              <w:t xml:space="preserve">- </w:t>
            </w:r>
            <w:r w:rsidR="00D252EA">
              <w:rPr>
                <w:rFonts w:ascii="Times New Roman" w:hAnsi="Times New Roman"/>
                <w:color w:val="000000"/>
              </w:rPr>
              <w:t>O</w:t>
            </w:r>
            <w:r w:rsidRPr="00AA2123">
              <w:rPr>
                <w:rFonts w:ascii="Times New Roman" w:hAnsi="Times New Roman"/>
                <w:color w:val="000000"/>
              </w:rPr>
              <w:t>bow</w:t>
            </w:r>
            <w:r w:rsidR="00103C38">
              <w:rPr>
                <w:rFonts w:ascii="Times New Roman" w:hAnsi="Times New Roman"/>
                <w:color w:val="000000"/>
              </w:rPr>
              <w:t>iązkowe ubezpieczenia społeczne</w:t>
            </w:r>
            <w:r w:rsidRPr="00AA2123">
              <w:rPr>
                <w:rFonts w:ascii="Times New Roman" w:hAnsi="Times New Roman"/>
                <w:color w:val="000000"/>
              </w:rPr>
              <w:t xml:space="preserve"> w rozdziale 75301 </w:t>
            </w:r>
            <w:r w:rsidR="00103C38">
              <w:rPr>
                <w:rFonts w:ascii="Times New Roman" w:hAnsi="Times New Roman"/>
                <w:color w:val="000000"/>
              </w:rPr>
              <w:t xml:space="preserve">- </w:t>
            </w:r>
            <w:r w:rsidR="00D252EA">
              <w:rPr>
                <w:rFonts w:ascii="Times New Roman" w:hAnsi="Times New Roman"/>
                <w:color w:val="000000"/>
              </w:rPr>
              <w:t>Ś</w:t>
            </w:r>
            <w:r w:rsidRPr="00AA2123">
              <w:rPr>
                <w:rFonts w:ascii="Times New Roman" w:hAnsi="Times New Roman"/>
                <w:color w:val="000000"/>
              </w:rPr>
              <w:t xml:space="preserve">wiadczenia pieniężne z zaopatrzenia </w:t>
            </w:r>
            <w:r w:rsidR="00103C38">
              <w:rPr>
                <w:rFonts w:ascii="Times New Roman" w:hAnsi="Times New Roman"/>
                <w:color w:val="000000"/>
              </w:rPr>
              <w:t>emerytalnego</w:t>
            </w:r>
            <w:r w:rsidR="00D3410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24BD7" w:rsidRPr="008B4FE6" w14:paraId="5C49BA52" w14:textId="77777777" w:rsidTr="005D4F24">
        <w:trPr>
          <w:trHeight w:val="274"/>
        </w:trPr>
        <w:tc>
          <w:tcPr>
            <w:tcW w:w="1953" w:type="dxa"/>
            <w:gridSpan w:val="2"/>
            <w:shd w:val="clear" w:color="auto" w:fill="FFFFFF"/>
          </w:tcPr>
          <w:p w14:paraId="708E53D6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104" w:type="dxa"/>
            <w:gridSpan w:val="23"/>
            <w:shd w:val="clear" w:color="auto" w:fill="FFFFFF"/>
          </w:tcPr>
          <w:p w14:paraId="1F33247E" w14:textId="77777777" w:rsidR="00F63FE7" w:rsidRPr="007B4E0C" w:rsidRDefault="00955ADC" w:rsidP="007B4E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955ADC">
              <w:rPr>
                <w:rFonts w:ascii="Times New Roman" w:hAnsi="Times New Roman"/>
              </w:rPr>
              <w:t xml:space="preserve">ałożenia </w:t>
            </w:r>
            <w:r>
              <w:rPr>
                <w:rFonts w:ascii="Times New Roman" w:hAnsi="Times New Roman"/>
              </w:rPr>
              <w:t xml:space="preserve">przyjęte na potrzeby wyliczenia szacunkowych kosztów </w:t>
            </w:r>
            <w:r w:rsidR="00D05474">
              <w:rPr>
                <w:rFonts w:ascii="Times New Roman" w:hAnsi="Times New Roman"/>
              </w:rPr>
              <w:t xml:space="preserve">projektowanej ustawy po stronie </w:t>
            </w:r>
            <w:r>
              <w:rPr>
                <w:rFonts w:ascii="Times New Roman" w:hAnsi="Times New Roman"/>
              </w:rPr>
              <w:t>Zakładu Emerytalno-Rentowego MSW</w:t>
            </w:r>
            <w:r w:rsidR="005071E5">
              <w:rPr>
                <w:rFonts w:ascii="Times New Roman" w:hAnsi="Times New Roman"/>
              </w:rPr>
              <w:t>iA</w:t>
            </w:r>
            <w:r w:rsidR="007B4E0C" w:rsidRPr="007B4E0C">
              <w:rPr>
                <w:rFonts w:ascii="Times New Roman" w:hAnsi="Times New Roman"/>
              </w:rPr>
              <w:t xml:space="preserve"> w odniesieniu do funkcjonariuszy zwolnionych z Policji, Straży Granicznej, </w:t>
            </w:r>
            <w:r w:rsidR="007B4E0C">
              <w:rPr>
                <w:rFonts w:ascii="Times New Roman" w:hAnsi="Times New Roman"/>
              </w:rPr>
              <w:t>Służby Ochrony Państwa i Państwo</w:t>
            </w:r>
            <w:r w:rsidR="003A22D6">
              <w:rPr>
                <w:rFonts w:ascii="Times New Roman" w:hAnsi="Times New Roman"/>
              </w:rPr>
              <w:t>wej Straży Pożarnej przyjęto:</w:t>
            </w:r>
          </w:p>
          <w:p w14:paraId="080BB10C" w14:textId="77777777" w:rsidR="007B4E0C" w:rsidRDefault="007B4E0C" w:rsidP="007B4E0C">
            <w:pPr>
              <w:numPr>
                <w:ilvl w:val="0"/>
                <w:numId w:val="28"/>
              </w:numPr>
              <w:spacing w:line="240" w:lineRule="auto"/>
              <w:ind w:left="350"/>
              <w:jc w:val="both"/>
              <w:rPr>
                <w:rFonts w:ascii="Times New Roman" w:hAnsi="Times New Roman"/>
              </w:rPr>
            </w:pPr>
            <w:r w:rsidRPr="007B4E0C">
              <w:rPr>
                <w:rFonts w:ascii="Times New Roman" w:hAnsi="Times New Roman"/>
              </w:rPr>
              <w:t xml:space="preserve">średnioroczny wskaźnik waloryzacji w 2021 r. - 103,2%; od 2022 r i w latach następnych </w:t>
            </w:r>
            <w:r>
              <w:rPr>
                <w:rFonts w:ascii="Times New Roman" w:hAnsi="Times New Roman"/>
              </w:rPr>
              <w:t xml:space="preserve">przyjmuje się, że </w:t>
            </w:r>
            <w:r w:rsidRPr="007B4E0C">
              <w:rPr>
                <w:rFonts w:ascii="Times New Roman" w:hAnsi="Times New Roman"/>
              </w:rPr>
              <w:t>średnioroczny wskaźnik waloryzacj</w:t>
            </w:r>
            <w:r>
              <w:rPr>
                <w:rFonts w:ascii="Times New Roman" w:hAnsi="Times New Roman"/>
              </w:rPr>
              <w:t>i wyniesie odpowiednio 102,60%</w:t>
            </w:r>
            <w:r w:rsidR="00FB72FF">
              <w:rPr>
                <w:rFonts w:ascii="Times New Roman" w:hAnsi="Times New Roman"/>
              </w:rPr>
              <w:t>;</w:t>
            </w:r>
          </w:p>
          <w:p w14:paraId="4393C079" w14:textId="77777777" w:rsidR="007B4E0C" w:rsidRDefault="003008F4" w:rsidP="007B4E0C">
            <w:pPr>
              <w:numPr>
                <w:ilvl w:val="0"/>
                <w:numId w:val="28"/>
              </w:numPr>
              <w:spacing w:line="240" w:lineRule="auto"/>
              <w:ind w:left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że </w:t>
            </w:r>
            <w:r w:rsidR="007B4E0C" w:rsidRPr="007B4E0C">
              <w:rPr>
                <w:rFonts w:ascii="Times New Roman" w:hAnsi="Times New Roman"/>
              </w:rPr>
              <w:t>osoby posiadające okresy składkowe przed służbą, po osiągnięciu 25 lat służby (liczonej wraz z okresami równorzędnymi ze służbą</w:t>
            </w:r>
            <w:r w:rsidR="007B4E0C">
              <w:rPr>
                <w:rFonts w:ascii="Times New Roman" w:hAnsi="Times New Roman"/>
              </w:rPr>
              <w:t>,</w:t>
            </w:r>
            <w:r w:rsidR="007B4E0C" w:rsidRPr="007B4E0C">
              <w:rPr>
                <w:rFonts w:ascii="Times New Roman" w:hAnsi="Times New Roman"/>
              </w:rPr>
              <w:t xml:space="preserve"> m.in. </w:t>
            </w:r>
            <w:r w:rsidR="007B4E0C">
              <w:rPr>
                <w:rFonts w:ascii="Times New Roman" w:hAnsi="Times New Roman"/>
              </w:rPr>
              <w:t xml:space="preserve">z </w:t>
            </w:r>
            <w:r w:rsidR="007B4E0C" w:rsidRPr="007B4E0C">
              <w:rPr>
                <w:rFonts w:ascii="Times New Roman" w:hAnsi="Times New Roman"/>
              </w:rPr>
              <w:t>zasadniczą służbą wojskow</w:t>
            </w:r>
            <w:r w:rsidR="005D12A5">
              <w:rPr>
                <w:rFonts w:ascii="Times New Roman" w:hAnsi="Times New Roman"/>
              </w:rPr>
              <w:t>ą) będą miały zaliczane do wysługi emerytalnej okresy składkowe</w:t>
            </w:r>
            <w:r w:rsidR="007B4E0C" w:rsidRPr="007B4E0C">
              <w:rPr>
                <w:rFonts w:ascii="Times New Roman" w:hAnsi="Times New Roman"/>
              </w:rPr>
              <w:t xml:space="preserve"> przed służbą, w wym</w:t>
            </w:r>
            <w:r w:rsidR="007B4E0C">
              <w:rPr>
                <w:rFonts w:ascii="Times New Roman" w:hAnsi="Times New Roman"/>
              </w:rPr>
              <w:t>iarze po 1,3% podstawy wymiaru</w:t>
            </w:r>
            <w:r w:rsidR="00FB72FF">
              <w:rPr>
                <w:rFonts w:ascii="Times New Roman" w:hAnsi="Times New Roman"/>
              </w:rPr>
              <w:t>;</w:t>
            </w:r>
          </w:p>
          <w:p w14:paraId="164BB4C1" w14:textId="65D018AA" w:rsidR="007B4E0C" w:rsidRDefault="003008F4" w:rsidP="007B4E0C">
            <w:pPr>
              <w:numPr>
                <w:ilvl w:val="0"/>
                <w:numId w:val="28"/>
              </w:numPr>
              <w:spacing w:line="240" w:lineRule="auto"/>
              <w:ind w:left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że </w:t>
            </w:r>
            <w:r w:rsidR="00AF548C">
              <w:rPr>
                <w:rFonts w:ascii="Times New Roman" w:hAnsi="Times New Roman"/>
              </w:rPr>
              <w:t>od około</w:t>
            </w:r>
            <w:r w:rsidR="007B4E0C" w:rsidRPr="003008F4">
              <w:rPr>
                <w:rFonts w:ascii="Times New Roman" w:hAnsi="Times New Roman"/>
              </w:rPr>
              <w:t xml:space="preserve"> 2025 </w:t>
            </w:r>
            <w:r w:rsidR="00B210B5">
              <w:rPr>
                <w:rFonts w:ascii="Times New Roman" w:hAnsi="Times New Roman"/>
              </w:rPr>
              <w:t xml:space="preserve">r. </w:t>
            </w:r>
            <w:r w:rsidR="007B4E0C" w:rsidRPr="003008F4">
              <w:rPr>
                <w:rFonts w:ascii="Times New Roman" w:hAnsi="Times New Roman"/>
              </w:rPr>
              <w:t>emerytom pozostającym w zatrudnieniu n</w:t>
            </w:r>
            <w:r w:rsidR="00212670">
              <w:rPr>
                <w:rFonts w:ascii="Times New Roman" w:hAnsi="Times New Roman"/>
              </w:rPr>
              <w:t>a ich wniosek będą doliczane do </w:t>
            </w:r>
            <w:r w:rsidR="007B4E0C" w:rsidRPr="003008F4">
              <w:rPr>
                <w:rFonts w:ascii="Times New Roman" w:hAnsi="Times New Roman"/>
              </w:rPr>
              <w:t>wysługi emerytalnej przypadające po zwolnieniu ze służby okresy opłacania składek</w:t>
            </w:r>
            <w:r>
              <w:rPr>
                <w:rFonts w:ascii="Times New Roman" w:hAnsi="Times New Roman"/>
              </w:rPr>
              <w:br/>
            </w:r>
            <w:r w:rsidR="007B4E0C" w:rsidRPr="003008F4">
              <w:rPr>
                <w:rFonts w:ascii="Times New Roman" w:hAnsi="Times New Roman"/>
              </w:rPr>
              <w:t>w wymiarze po 1,3% podstawy wymiaru.</w:t>
            </w:r>
          </w:p>
          <w:p w14:paraId="55466F06" w14:textId="77777777" w:rsidR="00C95E70" w:rsidRDefault="00C95E70" w:rsidP="00C95E70">
            <w:pPr>
              <w:spacing w:line="240" w:lineRule="auto"/>
              <w:ind w:left="350"/>
              <w:jc w:val="both"/>
              <w:rPr>
                <w:rFonts w:ascii="Times New Roman" w:hAnsi="Times New Roman"/>
              </w:rPr>
            </w:pPr>
          </w:p>
          <w:p w14:paraId="431D18AE" w14:textId="69881230" w:rsidR="00CF6FDC" w:rsidRDefault="008523D9" w:rsidP="00CF6FD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8523D9">
              <w:rPr>
                <w:rFonts w:ascii="Times New Roman" w:hAnsi="Times New Roman"/>
                <w:color w:val="000000"/>
              </w:rPr>
              <w:t xml:space="preserve">Przechodząc z kolei do metodyki przyjętych obliczeń </w:t>
            </w:r>
            <w:r w:rsidR="001D3BD4">
              <w:rPr>
                <w:rFonts w:ascii="Times New Roman" w:hAnsi="Times New Roman"/>
                <w:color w:val="000000"/>
              </w:rPr>
              <w:t>przyjęto,</w:t>
            </w:r>
            <w:r w:rsidRPr="008523D9">
              <w:rPr>
                <w:rFonts w:ascii="Times New Roman" w:hAnsi="Times New Roman"/>
                <w:color w:val="000000"/>
              </w:rPr>
              <w:t xml:space="preserve"> że prawo do doliczenia okresów składkowych, przed służbą (z tytułu tzw. pracy cywilnej) dla funkcjonariuszy osiągających 25 lat służby liczonej łącznie z zasadniczą służbą wojskową – powstanie począwszy od 2023 roku. I tak od 2023 roku roczny wzrost liczby emerytów uprawnionych do doliczenia okresów składkowych stanowić będzie ok. 20% liczby funkcjonariuszy z pozostających w służbie przyjętych po raz pierwszy do służby w latach 1999-2003. Z kolei przeciętna długość doliczanych okresów składkowych po 1,3 % podstawy wymiaru wynosi 3 lata i 3 miesiące. Począwszy od 2025 r. co roku, ok. 20 % emerytów z ww. grupy emerytów będzie doliczać okresy z tytułu opłacania składek po zwolnieniu ze służby (tzw. pracy cywilnej) – po 1,3% podstawy wymiaru. Natomiast przeciętna długość doliczanych przez emerytów okresów opłacania składek po zwolnieniu ze służby wyniesie 1 rok i 8 miesięcy. Podstawę wymiaru świadczenia stanowi indywidualne uposażenie należne funkcjonariuszowi na ostatnio zajmowanym stanowisku.</w:t>
            </w:r>
          </w:p>
          <w:p w14:paraId="2F41294E" w14:textId="67ECC1C8" w:rsidR="00466CE0" w:rsidRDefault="00466CE0" w:rsidP="00CF6FD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C95E70">
              <w:rPr>
                <w:rFonts w:ascii="Times New Roman" w:hAnsi="Times New Roman"/>
                <w:color w:val="000000"/>
              </w:rPr>
              <w:t>Szacuje się, że liczba funkcjonariuszy uprawnionych do ww. projektowanych rozwiązań wynosić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będzie od  2023 r.: 2023-500 osób, </w:t>
            </w:r>
            <w:r w:rsidRPr="00C95E70">
              <w:rPr>
                <w:rFonts w:ascii="Times New Roman" w:hAnsi="Times New Roman"/>
                <w:color w:val="000000"/>
              </w:rPr>
              <w:t>2024</w:t>
            </w:r>
            <w:r w:rsidR="00152BE5" w:rsidRPr="00C95E70">
              <w:rPr>
                <w:rFonts w:ascii="Times New Roman" w:hAnsi="Times New Roman"/>
                <w:color w:val="000000"/>
              </w:rPr>
              <w:t>-</w:t>
            </w:r>
            <w:r w:rsidRPr="00C95E70">
              <w:rPr>
                <w:rFonts w:ascii="Times New Roman" w:hAnsi="Times New Roman"/>
                <w:color w:val="000000"/>
              </w:rPr>
              <w:t>900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osób, </w:t>
            </w:r>
            <w:r w:rsidRPr="00C95E70">
              <w:rPr>
                <w:rFonts w:ascii="Times New Roman" w:hAnsi="Times New Roman"/>
                <w:color w:val="000000"/>
              </w:rPr>
              <w:t>2025</w:t>
            </w:r>
            <w:r w:rsidR="00152BE5" w:rsidRPr="00C95E70">
              <w:rPr>
                <w:rFonts w:ascii="Times New Roman" w:hAnsi="Times New Roman"/>
                <w:color w:val="000000"/>
              </w:rPr>
              <w:t>-</w:t>
            </w:r>
            <w:r w:rsidRPr="00C95E70">
              <w:rPr>
                <w:rFonts w:ascii="Times New Roman" w:hAnsi="Times New Roman"/>
                <w:color w:val="000000"/>
              </w:rPr>
              <w:t>1</w:t>
            </w:r>
            <w:r w:rsidR="00152BE5" w:rsidRPr="00C95E70">
              <w:rPr>
                <w:rFonts w:ascii="Times New Roman" w:hAnsi="Times New Roman"/>
                <w:color w:val="000000"/>
              </w:rPr>
              <w:t>.</w:t>
            </w:r>
            <w:r w:rsidRPr="00C95E70">
              <w:rPr>
                <w:rFonts w:ascii="Times New Roman" w:hAnsi="Times New Roman"/>
                <w:color w:val="000000"/>
              </w:rPr>
              <w:t>200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osób, </w:t>
            </w:r>
            <w:r w:rsidRPr="00C95E70">
              <w:rPr>
                <w:rFonts w:ascii="Times New Roman" w:hAnsi="Times New Roman"/>
                <w:color w:val="000000"/>
              </w:rPr>
              <w:t>2026</w:t>
            </w:r>
            <w:r w:rsidR="00152BE5" w:rsidRPr="00C95E70">
              <w:rPr>
                <w:rFonts w:ascii="Times New Roman" w:hAnsi="Times New Roman"/>
                <w:color w:val="000000"/>
              </w:rPr>
              <w:t>-</w:t>
            </w:r>
            <w:r w:rsidRPr="00C95E70">
              <w:rPr>
                <w:rFonts w:ascii="Times New Roman" w:hAnsi="Times New Roman"/>
                <w:color w:val="000000"/>
              </w:rPr>
              <w:t>1</w:t>
            </w:r>
            <w:r w:rsidR="00152BE5" w:rsidRPr="00C95E70">
              <w:rPr>
                <w:rFonts w:ascii="Times New Roman" w:hAnsi="Times New Roman"/>
                <w:color w:val="000000"/>
              </w:rPr>
              <w:t>.</w:t>
            </w:r>
            <w:r w:rsidRPr="00C95E70">
              <w:rPr>
                <w:rFonts w:ascii="Times New Roman" w:hAnsi="Times New Roman"/>
                <w:color w:val="000000"/>
              </w:rPr>
              <w:t>300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osób, </w:t>
            </w:r>
            <w:r w:rsidRPr="00C95E70">
              <w:rPr>
                <w:rFonts w:ascii="Times New Roman" w:hAnsi="Times New Roman"/>
                <w:color w:val="000000"/>
              </w:rPr>
              <w:tab/>
            </w:r>
            <w:r w:rsidR="00152BE5" w:rsidRPr="00C95E70">
              <w:rPr>
                <w:rFonts w:ascii="Times New Roman" w:hAnsi="Times New Roman"/>
                <w:color w:val="000000"/>
              </w:rPr>
              <w:t>2027-1.</w:t>
            </w:r>
            <w:r w:rsidRPr="00C95E70">
              <w:rPr>
                <w:rFonts w:ascii="Times New Roman" w:hAnsi="Times New Roman"/>
                <w:color w:val="000000"/>
              </w:rPr>
              <w:t>600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osób, 2028-1.</w:t>
            </w:r>
            <w:r w:rsidRPr="00C95E70">
              <w:rPr>
                <w:rFonts w:ascii="Times New Roman" w:hAnsi="Times New Roman"/>
                <w:color w:val="000000"/>
              </w:rPr>
              <w:t>3</w:t>
            </w:r>
            <w:r w:rsidR="00506060">
              <w:rPr>
                <w:rFonts w:ascii="Times New Roman" w:hAnsi="Times New Roman"/>
                <w:color w:val="000000"/>
              </w:rPr>
              <w:t>5</w:t>
            </w:r>
            <w:r w:rsidRPr="00C95E70">
              <w:rPr>
                <w:rFonts w:ascii="Times New Roman" w:hAnsi="Times New Roman"/>
                <w:color w:val="000000"/>
              </w:rPr>
              <w:t>0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osób, 2029-1.</w:t>
            </w:r>
            <w:r w:rsidR="00506060">
              <w:rPr>
                <w:rFonts w:ascii="Times New Roman" w:hAnsi="Times New Roman"/>
                <w:color w:val="000000"/>
              </w:rPr>
              <w:t>10</w:t>
            </w:r>
            <w:r w:rsidR="00152BE5" w:rsidRPr="00C95E70">
              <w:rPr>
                <w:rFonts w:ascii="Times New Roman" w:hAnsi="Times New Roman"/>
                <w:color w:val="000000"/>
              </w:rPr>
              <w:t>0 osób, 2030-</w:t>
            </w:r>
            <w:r w:rsidRPr="00C95E70">
              <w:rPr>
                <w:rFonts w:ascii="Times New Roman" w:hAnsi="Times New Roman"/>
                <w:color w:val="000000"/>
              </w:rPr>
              <w:t>850</w:t>
            </w:r>
            <w:r w:rsidR="00152BE5" w:rsidRPr="00C95E70">
              <w:rPr>
                <w:rFonts w:ascii="Times New Roman" w:hAnsi="Times New Roman"/>
                <w:color w:val="000000"/>
              </w:rPr>
              <w:t xml:space="preserve"> osób.</w:t>
            </w:r>
          </w:p>
          <w:p w14:paraId="00D30F92" w14:textId="1CC19D18" w:rsidR="00A94E8C" w:rsidRPr="00C95E70" w:rsidRDefault="00A94E8C" w:rsidP="00CF6FD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Dochody ogółem w skali 10 lat wyniosą 36.011 tys. zł, z tego z tytułu podatku </w:t>
            </w:r>
            <w:r w:rsidR="00684F94">
              <w:rPr>
                <w:rFonts w:ascii="Times New Roman" w:hAnsi="Times New Roman"/>
                <w:color w:val="000000"/>
              </w:rPr>
              <w:t xml:space="preserve">dochodowego </w:t>
            </w:r>
            <w:r>
              <w:rPr>
                <w:rFonts w:ascii="Times New Roman" w:hAnsi="Times New Roman"/>
                <w:color w:val="000000"/>
              </w:rPr>
              <w:t>od osób fizycznych wyniosą 18.253 tys. zł, w tym 9.344 tys. zł zasilą budżety jednostek samorządu terytorialnego, natomiast składki na ubezpieczenie zdrowotne w skali 10 lat wyniosą 17.758 tys. zł, które zasilą Narodowy Fundusz Zdrowia.</w:t>
            </w:r>
          </w:p>
          <w:p w14:paraId="71621EEF" w14:textId="77777777" w:rsidR="00AA2123" w:rsidRPr="00C625CE" w:rsidRDefault="00AA2123" w:rsidP="00D01DE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14:paraId="5D2B7F6E" w14:textId="77777777" w:rsidTr="005D4F24">
        <w:trPr>
          <w:trHeight w:val="345"/>
        </w:trPr>
        <w:tc>
          <w:tcPr>
            <w:tcW w:w="11057" w:type="dxa"/>
            <w:gridSpan w:val="25"/>
            <w:shd w:val="clear" w:color="auto" w:fill="99CCFF"/>
          </w:tcPr>
          <w:p w14:paraId="137DD39A" w14:textId="789792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477E0DA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FFFFFF"/>
          </w:tcPr>
          <w:p w14:paraId="68C4798C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D4F24" w:rsidRPr="008B4FE6" w14:paraId="7D29BBC2" w14:textId="77777777" w:rsidTr="00A4406E">
        <w:trPr>
          <w:trHeight w:val="142"/>
        </w:trPr>
        <w:tc>
          <w:tcPr>
            <w:tcW w:w="3828" w:type="dxa"/>
            <w:gridSpan w:val="8"/>
            <w:shd w:val="clear" w:color="auto" w:fill="FFFFFF"/>
          </w:tcPr>
          <w:p w14:paraId="15F9E1BE" w14:textId="77777777" w:rsidR="005D4F24" w:rsidRPr="008C3256" w:rsidRDefault="005D4F24" w:rsidP="00811D4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</w:tcPr>
          <w:p w14:paraId="2E55E1A2" w14:textId="77777777" w:rsidR="005D4F24" w:rsidRPr="00301959" w:rsidRDefault="005D4F24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2FBDD2C1" w14:textId="77777777" w:rsidR="005D4F24" w:rsidRPr="00301959" w:rsidRDefault="005D4F24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0" w:type="dxa"/>
              <w:right w:w="0" w:type="dxa"/>
            </w:tcMar>
          </w:tcPr>
          <w:p w14:paraId="204AF3DB" w14:textId="77777777" w:rsidR="005D4F24" w:rsidRPr="00301959" w:rsidRDefault="005D4F24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4"/>
            <w:shd w:val="clear" w:color="auto" w:fill="FFFFFF"/>
            <w:tcMar>
              <w:left w:w="0" w:type="dxa"/>
              <w:right w:w="0" w:type="dxa"/>
            </w:tcMar>
          </w:tcPr>
          <w:p w14:paraId="7679E5CF" w14:textId="77777777" w:rsidR="005D4F24" w:rsidRPr="00301959" w:rsidRDefault="005D4F24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3D721A74" w14:textId="77777777" w:rsidR="005D4F24" w:rsidRPr="00301959" w:rsidRDefault="005D4F24" w:rsidP="008C32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14:paraId="5D6DAF7A" w14:textId="77777777" w:rsidR="005D4F24" w:rsidRPr="00301959" w:rsidRDefault="005D4F24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53F1C545" w14:textId="77777777" w:rsidR="005D4F24" w:rsidRPr="00161C7A" w:rsidRDefault="005D4F24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161C7A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Łącznie</w:t>
            </w:r>
            <w:r w:rsidRPr="00161C7A" w:rsidDel="0073273A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 </w:t>
            </w:r>
            <w:r w:rsidRPr="00161C7A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(0-10)</w:t>
            </w:r>
          </w:p>
        </w:tc>
      </w:tr>
      <w:tr w:rsidR="005D4F24" w:rsidRPr="008B4FE6" w14:paraId="45EAE30D" w14:textId="77777777" w:rsidTr="00A4406E">
        <w:trPr>
          <w:trHeight w:val="142"/>
        </w:trPr>
        <w:tc>
          <w:tcPr>
            <w:tcW w:w="1277" w:type="dxa"/>
            <w:vMerge w:val="restart"/>
            <w:shd w:val="clear" w:color="auto" w:fill="FFFFFF"/>
            <w:noWrap/>
          </w:tcPr>
          <w:p w14:paraId="4514FD8F" w14:textId="77777777" w:rsidR="005D4F24" w:rsidRPr="00694609" w:rsidRDefault="005D4F24" w:rsidP="006946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15028FF" w14:textId="77777777" w:rsidR="005D4F24" w:rsidRPr="00694609" w:rsidRDefault="005D4F24" w:rsidP="006946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(w mln zł, </w:t>
            </w:r>
          </w:p>
          <w:p w14:paraId="0B419482" w14:textId="77777777" w:rsidR="005D4F24" w:rsidRPr="00AE3E26" w:rsidRDefault="00257683" w:rsidP="006F78C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ceny stałe z 2020</w:t>
            </w:r>
            <w:r w:rsidR="005D4F24"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2551" w:type="dxa"/>
            <w:gridSpan w:val="7"/>
            <w:shd w:val="clear" w:color="auto" w:fill="FFFFFF"/>
            <w:noWrap/>
            <w:tcMar>
              <w:left w:w="0" w:type="dxa"/>
              <w:right w:w="0" w:type="dxa"/>
            </w:tcMar>
          </w:tcPr>
          <w:p w14:paraId="6DEAF8D8" w14:textId="77777777" w:rsidR="005D4F24" w:rsidRPr="00694609" w:rsidRDefault="005D4F2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425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596A75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55EB3E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2E49BF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CFDBE9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3443FA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20887D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</w:tcPr>
          <w:p w14:paraId="182105DE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D4F24" w:rsidRPr="008B4FE6" w14:paraId="2D3F7517" w14:textId="77777777" w:rsidTr="00A4406E">
        <w:trPr>
          <w:trHeight w:val="142"/>
        </w:trPr>
        <w:tc>
          <w:tcPr>
            <w:tcW w:w="1277" w:type="dxa"/>
            <w:vMerge/>
            <w:shd w:val="clear" w:color="auto" w:fill="FFFFFF"/>
            <w:noWrap/>
          </w:tcPr>
          <w:p w14:paraId="5F15358C" w14:textId="77777777" w:rsidR="005D4F24" w:rsidRPr="00AE3E26" w:rsidRDefault="005D4F24" w:rsidP="00811D46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shd w:val="clear" w:color="auto" w:fill="FFFFFF"/>
            <w:noWrap/>
            <w:tcMar>
              <w:left w:w="0" w:type="dxa"/>
              <w:right w:w="0" w:type="dxa"/>
            </w:tcMar>
          </w:tcPr>
          <w:p w14:paraId="4BB4352B" w14:textId="77777777" w:rsidR="005D4F24" w:rsidRPr="00694609" w:rsidRDefault="005D4F2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425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688F62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51777F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621542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D661D1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73446D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14D799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</w:tcPr>
          <w:p w14:paraId="4C9FE5CB" w14:textId="77777777" w:rsidR="005D4F24" w:rsidRPr="00B37C80" w:rsidRDefault="00D05474" w:rsidP="00D05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E1481D" w:rsidRPr="008B4FE6" w14:paraId="4C7605D8" w14:textId="77777777" w:rsidTr="00E1481D">
        <w:trPr>
          <w:trHeight w:val="142"/>
        </w:trPr>
        <w:tc>
          <w:tcPr>
            <w:tcW w:w="1277" w:type="dxa"/>
            <w:vMerge/>
            <w:shd w:val="clear" w:color="auto" w:fill="FFFFFF"/>
            <w:noWrap/>
          </w:tcPr>
          <w:p w14:paraId="767BACBF" w14:textId="77777777" w:rsidR="00E1481D" w:rsidRPr="00AE3E26" w:rsidRDefault="00E1481D" w:rsidP="00E1481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shd w:val="clear" w:color="auto" w:fill="FFFFFF"/>
            <w:noWrap/>
            <w:tcMar>
              <w:left w:w="0" w:type="dxa"/>
              <w:right w:w="0" w:type="dxa"/>
            </w:tcMar>
          </w:tcPr>
          <w:p w14:paraId="019F20D7" w14:textId="77777777" w:rsidR="00E1481D" w:rsidRPr="00694609" w:rsidRDefault="00E1481D" w:rsidP="00E1481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425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BB788C" w14:textId="77777777" w:rsidR="00E1481D" w:rsidRPr="00D05474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30C85A7" w14:textId="77777777" w:rsidR="00E1481D" w:rsidRPr="00D05474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702119" w14:textId="77777777" w:rsidR="00E1481D" w:rsidRPr="00D05474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B29639" w14:textId="723A3DA1" w:rsidR="00E1481D" w:rsidRPr="00D05474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81D">
              <w:rPr>
                <w:rFonts w:ascii="Times New Roman" w:hAnsi="Times New Roman"/>
                <w:color w:val="000000"/>
                <w:sz w:val="20"/>
                <w:szCs w:val="20"/>
              </w:rPr>
              <w:t>1,884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</w:tcPr>
          <w:p w14:paraId="0839CFE5" w14:textId="0A3D9B60" w:rsidR="00E1481D" w:rsidRPr="00D05474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D5E">
              <w:rPr>
                <w:rFonts w:ascii="Times New Roman" w:hAnsi="Times New Roman"/>
                <w:color w:val="000000"/>
                <w:sz w:val="20"/>
                <w:szCs w:val="20"/>
              </w:rPr>
              <w:t>10,109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</w:tcPr>
          <w:p w14:paraId="2CE926BC" w14:textId="2419FE56" w:rsidR="00E1481D" w:rsidRPr="00D05474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D5E">
              <w:rPr>
                <w:rFonts w:ascii="Times New Roman" w:hAnsi="Times New Roman"/>
                <w:color w:val="000000"/>
                <w:sz w:val="20"/>
                <w:szCs w:val="20"/>
              </w:rPr>
              <w:t>40,489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left w:w="0" w:type="dxa"/>
              <w:right w:w="0" w:type="dxa"/>
            </w:tcMar>
          </w:tcPr>
          <w:p w14:paraId="077FCA06" w14:textId="4B69C7B9" w:rsidR="00E1481D" w:rsidRPr="00662D5E" w:rsidRDefault="00E1481D" w:rsidP="00662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D5E">
              <w:rPr>
                <w:rFonts w:ascii="Times New Roman" w:hAnsi="Times New Roman"/>
                <w:color w:val="000000"/>
                <w:sz w:val="20"/>
                <w:szCs w:val="20"/>
              </w:rPr>
              <w:t>161,307</w:t>
            </w:r>
          </w:p>
        </w:tc>
      </w:tr>
      <w:tr w:rsidR="00AE3E26" w:rsidRPr="008B4FE6" w14:paraId="1359C50A" w14:textId="77777777" w:rsidTr="00A4406E">
        <w:trPr>
          <w:trHeight w:val="142"/>
        </w:trPr>
        <w:tc>
          <w:tcPr>
            <w:tcW w:w="1277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</w:tcPr>
          <w:p w14:paraId="66CB1C1D" w14:textId="77777777" w:rsidR="008A608F" w:rsidRPr="00AE3E26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551" w:type="dxa"/>
            <w:gridSpan w:val="7"/>
            <w:shd w:val="clear" w:color="auto" w:fill="FFFFFF"/>
            <w:noWrap/>
            <w:tcMar>
              <w:left w:w="0" w:type="dxa"/>
              <w:right w:w="0" w:type="dxa"/>
            </w:tcMar>
          </w:tcPr>
          <w:p w14:paraId="19026CEA" w14:textId="77777777" w:rsidR="008A608F" w:rsidRPr="0069460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229" w:type="dxa"/>
            <w:gridSpan w:val="17"/>
            <w:shd w:val="clear" w:color="auto" w:fill="FFFFFF"/>
            <w:noWrap/>
          </w:tcPr>
          <w:p w14:paraId="0D190176" w14:textId="77777777" w:rsidR="008A608F" w:rsidRPr="00B37C80" w:rsidRDefault="00D0547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E3E26" w:rsidRPr="008B4FE6" w14:paraId="5758BD75" w14:textId="77777777" w:rsidTr="00A4406E">
        <w:trPr>
          <w:trHeight w:val="142"/>
        </w:trPr>
        <w:tc>
          <w:tcPr>
            <w:tcW w:w="1277" w:type="dxa"/>
            <w:vMerge/>
            <w:shd w:val="clear" w:color="auto" w:fill="FFFFFF"/>
            <w:noWrap/>
          </w:tcPr>
          <w:p w14:paraId="75E8DACF" w14:textId="77777777" w:rsidR="008A608F" w:rsidRPr="00AE3E26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shd w:val="clear" w:color="auto" w:fill="FFFFFF"/>
            <w:noWrap/>
            <w:tcMar>
              <w:left w:w="0" w:type="dxa"/>
              <w:right w:w="0" w:type="dxa"/>
            </w:tcMar>
          </w:tcPr>
          <w:p w14:paraId="011F30AA" w14:textId="77777777" w:rsidR="008A608F" w:rsidRPr="0069460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229" w:type="dxa"/>
            <w:gridSpan w:val="17"/>
            <w:shd w:val="clear" w:color="auto" w:fill="FFFFFF"/>
            <w:noWrap/>
          </w:tcPr>
          <w:p w14:paraId="249A87CE" w14:textId="77777777" w:rsidR="008A608F" w:rsidRPr="00B37C80" w:rsidRDefault="00103C38" w:rsidP="003D4F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03C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Przedmiotowy projekt z uwagi na swój charakter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przedsiębiorstw, stosownie do przepisów ustawy z dnia 6 marca 2018 r. – Prawo przedsiębiorców.</w:t>
            </w:r>
          </w:p>
        </w:tc>
      </w:tr>
      <w:tr w:rsidR="00AE3E26" w:rsidRPr="008B4FE6" w14:paraId="1C343A79" w14:textId="77777777" w:rsidTr="00A4406E">
        <w:trPr>
          <w:trHeight w:val="596"/>
        </w:trPr>
        <w:tc>
          <w:tcPr>
            <w:tcW w:w="1277" w:type="dxa"/>
            <w:vMerge/>
            <w:shd w:val="clear" w:color="auto" w:fill="FFFFFF"/>
            <w:noWrap/>
          </w:tcPr>
          <w:p w14:paraId="02690BC2" w14:textId="77777777" w:rsidR="009E3C4B" w:rsidRPr="00AE3E26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shd w:val="clear" w:color="auto" w:fill="FFFFFF"/>
            <w:noWrap/>
            <w:tcMar>
              <w:left w:w="0" w:type="dxa"/>
              <w:right w:w="0" w:type="dxa"/>
            </w:tcMar>
          </w:tcPr>
          <w:p w14:paraId="12F4CFF8" w14:textId="77777777" w:rsidR="009E3C4B" w:rsidRPr="00694609" w:rsidRDefault="00A92BAF" w:rsidP="006946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</w:t>
            </w:r>
            <w:r w:rsidR="009E3C4B"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obywatele oraz gospodarstwa domowe </w:t>
            </w:r>
          </w:p>
        </w:tc>
        <w:tc>
          <w:tcPr>
            <w:tcW w:w="7229" w:type="dxa"/>
            <w:gridSpan w:val="17"/>
            <w:shd w:val="clear" w:color="auto" w:fill="FFFFFF"/>
            <w:noWrap/>
          </w:tcPr>
          <w:p w14:paraId="54DB234E" w14:textId="25CAB61C" w:rsidR="003D4FB3" w:rsidRPr="00103C38" w:rsidRDefault="00B210B5" w:rsidP="003D4F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Projektowana ustawa</w:t>
            </w:r>
            <w:r w:rsidR="00103C38" w:rsidRPr="00103C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103C38" w:rsidRPr="00D0547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pozytywnie </w:t>
            </w:r>
            <w:r w:rsidR="003D4FB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wpłynie na rodzinę, obywateli i </w:t>
            </w:r>
            <w:r w:rsidR="00103C38" w:rsidRPr="00D0547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gospodarstwa domowe osób objętych projektowanymi zmianami.</w:t>
            </w:r>
            <w:r w:rsidR="0069460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</w:t>
            </w:r>
            <w:r w:rsidR="00103C38" w:rsidRPr="00103C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ależy wskazać pozytywne oddziaływanie projektowanej regulacji na warunki życia </w:t>
            </w:r>
            <w:r w:rsidR="00C2273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emerytowanych </w:t>
            </w:r>
            <w:r w:rsidR="00103C38" w:rsidRPr="00103C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funkcjonariuszy oraz ich rodzin, w postaci zwiększenia środków przeznaczonych na ich utrzymanie, tj. zakupy żywności, odzieży, jak również zapewnie</w:t>
            </w:r>
            <w:r w:rsidR="003D4FB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im możliwości korzystania z </w:t>
            </w:r>
            <w:r w:rsidR="00103C38" w:rsidRPr="00103C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dóbr kulturalnych.</w:t>
            </w:r>
          </w:p>
          <w:p w14:paraId="75E63961" w14:textId="77777777" w:rsidR="009E3C4B" w:rsidRPr="00B37C80" w:rsidRDefault="00103C38" w:rsidP="003D4F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03C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Projektowana regulacja nie ma wpływu na osoby niepełnosprawne oraz osoby starsze.</w:t>
            </w:r>
          </w:p>
        </w:tc>
      </w:tr>
      <w:tr w:rsidR="00AE3E26" w:rsidRPr="008B4FE6" w14:paraId="7206C9CC" w14:textId="77777777" w:rsidTr="00A4406E">
        <w:trPr>
          <w:trHeight w:val="142"/>
        </w:trPr>
        <w:tc>
          <w:tcPr>
            <w:tcW w:w="1277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</w:tcPr>
          <w:p w14:paraId="1AB3EDBB" w14:textId="77777777" w:rsidR="00AA6CDC" w:rsidRPr="00AE3E26" w:rsidRDefault="00161C7A" w:rsidP="00811D46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Niemierzal</w:t>
            </w:r>
            <w:r w:rsidR="00AA6CDC"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>ne</w:t>
            </w:r>
          </w:p>
        </w:tc>
        <w:tc>
          <w:tcPr>
            <w:tcW w:w="2551" w:type="dxa"/>
            <w:gridSpan w:val="7"/>
            <w:vMerge w:val="restart"/>
            <w:shd w:val="clear" w:color="auto" w:fill="FFFFFF"/>
            <w:noWrap/>
          </w:tcPr>
          <w:p w14:paraId="03B3D423" w14:textId="77777777" w:rsidR="00AA6CDC" w:rsidRPr="00AE3E26" w:rsidRDefault="00AA6CDC" w:rsidP="00811D46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17"/>
            <w:shd w:val="clear" w:color="auto" w:fill="FFFFFF"/>
            <w:noWrap/>
          </w:tcPr>
          <w:p w14:paraId="24DDF4D8" w14:textId="77777777" w:rsidR="00AA6CDC" w:rsidRPr="00B37C80" w:rsidRDefault="00D05474" w:rsidP="00414F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E3E26" w:rsidRPr="008B4FE6" w14:paraId="1D089218" w14:textId="77777777" w:rsidTr="00A4406E">
        <w:trPr>
          <w:trHeight w:val="142"/>
        </w:trPr>
        <w:tc>
          <w:tcPr>
            <w:tcW w:w="1277" w:type="dxa"/>
            <w:vMerge/>
            <w:shd w:val="clear" w:color="auto" w:fill="FFFFFF"/>
          </w:tcPr>
          <w:p w14:paraId="09789451" w14:textId="77777777" w:rsidR="00AA6CDC" w:rsidRPr="00301959" w:rsidRDefault="00AA6CD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7"/>
            <w:vMerge/>
            <w:shd w:val="clear" w:color="auto" w:fill="FFFFFF"/>
          </w:tcPr>
          <w:p w14:paraId="71DEAEFB" w14:textId="77777777" w:rsidR="00AA6CDC" w:rsidRPr="00301959" w:rsidRDefault="00AA6CD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gridSpan w:val="17"/>
            <w:shd w:val="clear" w:color="auto" w:fill="FFFFFF"/>
          </w:tcPr>
          <w:p w14:paraId="06EBBEEF" w14:textId="77777777" w:rsidR="00AA6CDC" w:rsidRPr="00B37C80" w:rsidRDefault="00D0547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E24BD7" w:rsidRPr="008B4FE6" w14:paraId="1D6C90E2" w14:textId="77777777" w:rsidTr="005D4F24">
        <w:trPr>
          <w:trHeight w:val="1451"/>
        </w:trPr>
        <w:tc>
          <w:tcPr>
            <w:tcW w:w="1953" w:type="dxa"/>
            <w:gridSpan w:val="2"/>
            <w:shd w:val="clear" w:color="auto" w:fill="FFFFFF"/>
          </w:tcPr>
          <w:p w14:paraId="6CD97031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9104" w:type="dxa"/>
            <w:gridSpan w:val="23"/>
            <w:shd w:val="clear" w:color="auto" w:fill="FFFFFF"/>
            <w:vAlign w:val="center"/>
          </w:tcPr>
          <w:p w14:paraId="6CB200F5" w14:textId="77777777" w:rsidR="00E24BD7" w:rsidRDefault="008867DF" w:rsidP="00F63FE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B25B5">
              <w:rPr>
                <w:rFonts w:ascii="Times New Roman" w:hAnsi="Times New Roman"/>
                <w:color w:val="000000"/>
                <w:sz w:val="21"/>
                <w:szCs w:val="21"/>
              </w:rPr>
              <w:t>Projektowana ustawa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będzie miała</w:t>
            </w:r>
            <w:r w:rsidRPr="003B25B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wpływ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 na konkurencyjność gospodarki i przedsiębiorczość,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B25B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tym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 </w:t>
            </w:r>
            <w:r w:rsidR="00F63FE7">
              <w:rPr>
                <w:rFonts w:ascii="Times New Roman" w:hAnsi="Times New Roman"/>
                <w:color w:val="000000"/>
                <w:sz w:val="21"/>
                <w:szCs w:val="21"/>
              </w:rPr>
              <w:t>funkcjonowanie przedsiębiorców.</w:t>
            </w:r>
          </w:p>
          <w:p w14:paraId="03DBAC45" w14:textId="77777777" w:rsidR="00694609" w:rsidRPr="00301959" w:rsidRDefault="00694609" w:rsidP="0069460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Wdrożenie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projektowanych rozwiązań </w:t>
            </w: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wpłynie na poprawę warunków życia </w:t>
            </w:r>
            <w:r w:rsidR="00C2273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emerytowanych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funkcjonariuszy</w:t>
            </w:r>
            <w:r w:rsidRPr="006946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ich rodzin poprzez zwiększenie środków możliwych do przeznaczenia na ich utrzymanie, w szczególności: zakup żywności, odzieży, dóbr kultury oraz edukację.</w:t>
            </w:r>
          </w:p>
        </w:tc>
      </w:tr>
      <w:tr w:rsidR="006A701A" w:rsidRPr="008B4FE6" w14:paraId="1A08E3ED" w14:textId="77777777" w:rsidTr="005D4F24">
        <w:trPr>
          <w:trHeight w:val="342"/>
        </w:trPr>
        <w:tc>
          <w:tcPr>
            <w:tcW w:w="11057" w:type="dxa"/>
            <w:gridSpan w:val="25"/>
            <w:shd w:val="clear" w:color="auto" w:fill="99CCFF"/>
            <w:vAlign w:val="center"/>
          </w:tcPr>
          <w:p w14:paraId="68FF0252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1A42C1B" w14:textId="77777777" w:rsidTr="005D4F24">
        <w:trPr>
          <w:trHeight w:val="151"/>
        </w:trPr>
        <w:tc>
          <w:tcPr>
            <w:tcW w:w="11057" w:type="dxa"/>
            <w:gridSpan w:val="25"/>
            <w:shd w:val="clear" w:color="auto" w:fill="FFFFFF"/>
          </w:tcPr>
          <w:p w14:paraId="621CB04C" w14:textId="77777777" w:rsidR="00D86AFF" w:rsidRPr="00517E37" w:rsidRDefault="00414F91" w:rsidP="004F4E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D86AFF"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D86AFF"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D86AFF" w:rsidRPr="008B4FE6" w14:paraId="12EAD670" w14:textId="77777777" w:rsidTr="005D4F24">
        <w:trPr>
          <w:trHeight w:val="946"/>
        </w:trPr>
        <w:tc>
          <w:tcPr>
            <w:tcW w:w="4863" w:type="dxa"/>
            <w:gridSpan w:val="11"/>
            <w:shd w:val="clear" w:color="auto" w:fill="FFFFFF"/>
          </w:tcPr>
          <w:p w14:paraId="123CA8C8" w14:textId="77777777" w:rsidR="00D86AFF" w:rsidRPr="00517E37" w:rsidRDefault="00D86AFF" w:rsidP="001B3460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Wprowadzane są obciążenia poza bezwzględnie wymaganymi przez UE 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>(szczegóły w odwróconej tabeli zgodności).</w:t>
            </w:r>
          </w:p>
        </w:tc>
        <w:tc>
          <w:tcPr>
            <w:tcW w:w="6194" w:type="dxa"/>
            <w:gridSpan w:val="14"/>
            <w:shd w:val="clear" w:color="auto" w:fill="FFFFFF"/>
          </w:tcPr>
          <w:p w14:paraId="3C23B123" w14:textId="77777777" w:rsidR="00D86AFF" w:rsidRPr="00517E3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tak</w:t>
            </w:r>
          </w:p>
          <w:p w14:paraId="404F5EB3" w14:textId="77777777" w:rsidR="00D86AFF" w:rsidRPr="00517E3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</w:t>
            </w:r>
          </w:p>
          <w:p w14:paraId="3FF0C60E" w14:textId="77777777" w:rsidR="00D86AFF" w:rsidRPr="00517E37" w:rsidRDefault="00517E37" w:rsidP="004F4E1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dotyczy</w:t>
            </w:r>
          </w:p>
        </w:tc>
      </w:tr>
      <w:tr w:rsidR="001B3460" w:rsidRPr="008B4FE6" w14:paraId="65160DD7" w14:textId="77777777" w:rsidTr="005D4F24">
        <w:trPr>
          <w:trHeight w:val="1245"/>
        </w:trPr>
        <w:tc>
          <w:tcPr>
            <w:tcW w:w="4863" w:type="dxa"/>
            <w:gridSpan w:val="11"/>
            <w:shd w:val="clear" w:color="auto" w:fill="FFFFFF"/>
          </w:tcPr>
          <w:p w14:paraId="563147E0" w14:textId="77777777" w:rsidR="001B3460" w:rsidRPr="00517E3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zmniejszenie liczby dokumentów </w:t>
            </w:r>
          </w:p>
          <w:p w14:paraId="3B9F3743" w14:textId="77777777" w:rsidR="001B3460" w:rsidRPr="00517E3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zmniejszenie liczby procedur</w:t>
            </w:r>
          </w:p>
          <w:p w14:paraId="6617EBD7" w14:textId="77777777" w:rsidR="001B3460" w:rsidRPr="00517E3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skrócenie czasu</w:t>
            </w:r>
            <w:r w:rsidR="00CF5F4F"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 załatwienie sprawy</w:t>
            </w:r>
          </w:p>
          <w:p w14:paraId="3EBF8387" w14:textId="77777777" w:rsidR="001B3460" w:rsidRPr="00517E37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inne: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194" w:type="dxa"/>
            <w:gridSpan w:val="14"/>
            <w:shd w:val="clear" w:color="auto" w:fill="FFFFFF"/>
          </w:tcPr>
          <w:p w14:paraId="5425A583" w14:textId="77777777" w:rsidR="001B3460" w:rsidRPr="00517E3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zwiększenie liczby dokumentów</w:t>
            </w:r>
          </w:p>
          <w:p w14:paraId="434B79C4" w14:textId="77777777" w:rsidR="001B3460" w:rsidRPr="00517E3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zwiększenie liczby procedur</w:t>
            </w:r>
          </w:p>
          <w:p w14:paraId="418B329D" w14:textId="77777777" w:rsidR="001B3460" w:rsidRPr="00517E3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wydłużenie czasu</w:t>
            </w:r>
            <w:r w:rsidR="00CF5F4F"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 załatwienie sprawy</w:t>
            </w:r>
          </w:p>
          <w:p w14:paraId="142185C8" w14:textId="77777777" w:rsidR="001B3460" w:rsidRPr="00517E37" w:rsidRDefault="001B3460" w:rsidP="00FB1AC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inne: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Cambria Math" w:hAnsi="Cambria Math" w:cs="Cambria Math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Cambria Math" w:hAnsi="Cambria Math" w:cs="Cambria Math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Cambria Math" w:hAnsi="Cambria Math" w:cs="Cambria Math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Cambria Math" w:hAnsi="Cambria Math" w:cs="Cambria Math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Cambria Math" w:hAnsi="Cambria Math" w:cs="Cambria Math"/>
                <w:noProof/>
                <w:color w:val="000000"/>
                <w:sz w:val="21"/>
                <w:szCs w:val="21"/>
              </w:rPr>
              <w:t> </w:t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</w:tr>
      <w:tr w:rsidR="00BF0DA2" w:rsidRPr="008B4FE6" w14:paraId="58CC8D9E" w14:textId="77777777" w:rsidTr="005D4F24">
        <w:trPr>
          <w:trHeight w:val="870"/>
        </w:trPr>
        <w:tc>
          <w:tcPr>
            <w:tcW w:w="4863" w:type="dxa"/>
            <w:gridSpan w:val="11"/>
            <w:shd w:val="clear" w:color="auto" w:fill="FFFFFF"/>
          </w:tcPr>
          <w:p w14:paraId="1A1DD630" w14:textId="77777777" w:rsidR="00BF0DA2" w:rsidRPr="00517E37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Wprowadzane obciążenia są przystosowane do ich elektronizacji. </w:t>
            </w:r>
          </w:p>
        </w:tc>
        <w:tc>
          <w:tcPr>
            <w:tcW w:w="6194" w:type="dxa"/>
            <w:gridSpan w:val="14"/>
            <w:shd w:val="clear" w:color="auto" w:fill="FFFFFF"/>
          </w:tcPr>
          <w:p w14:paraId="05AEA431" w14:textId="77777777" w:rsidR="00BF0DA2" w:rsidRPr="00517E3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tak</w:t>
            </w:r>
          </w:p>
          <w:p w14:paraId="17DD9A7C" w14:textId="77777777" w:rsidR="00BF0DA2" w:rsidRPr="00517E3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</w:t>
            </w:r>
          </w:p>
          <w:p w14:paraId="2B7C40BE" w14:textId="77777777" w:rsidR="00117017" w:rsidRPr="00517E37" w:rsidRDefault="00414F91" w:rsidP="00FB1AC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17E3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BF0DA2" w:rsidRPr="0051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dotyczy</w:t>
            </w:r>
          </w:p>
        </w:tc>
      </w:tr>
      <w:tr w:rsidR="00117017" w:rsidRPr="008B4FE6" w14:paraId="6631D3B9" w14:textId="77777777" w:rsidTr="005D4F24">
        <w:trPr>
          <w:trHeight w:val="747"/>
        </w:trPr>
        <w:tc>
          <w:tcPr>
            <w:tcW w:w="11057" w:type="dxa"/>
            <w:gridSpan w:val="25"/>
            <w:shd w:val="clear" w:color="auto" w:fill="FFFFFF"/>
          </w:tcPr>
          <w:p w14:paraId="3A61C303" w14:textId="77777777" w:rsidR="00117017" w:rsidRPr="00C625CE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25CE">
              <w:rPr>
                <w:rFonts w:ascii="Times New Roman" w:hAnsi="Times New Roman"/>
                <w:color w:val="000000"/>
              </w:rPr>
              <w:t>Komentarz:</w:t>
            </w:r>
          </w:p>
          <w:p w14:paraId="5383110C" w14:textId="77777777" w:rsidR="00117017" w:rsidRPr="00C625CE" w:rsidRDefault="00E97FF4" w:rsidP="000228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ustawa</w:t>
            </w:r>
            <w:r w:rsidR="00414F91" w:rsidRPr="00C625CE">
              <w:rPr>
                <w:rFonts w:ascii="Times New Roman" w:hAnsi="Times New Roman"/>
                <w:color w:val="000000"/>
              </w:rPr>
              <w:t xml:space="preserve"> nie wprowadzi dodatkowych obciążeń</w:t>
            </w:r>
            <w:r w:rsidR="009A4939" w:rsidRPr="00C625CE">
              <w:rPr>
                <w:rFonts w:ascii="Times New Roman" w:hAnsi="Times New Roman"/>
                <w:color w:val="000000"/>
              </w:rPr>
              <w:t xml:space="preserve"> regulacyjnych</w:t>
            </w:r>
            <w:r w:rsidR="00414F91" w:rsidRPr="00C625C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3460" w:rsidRPr="008B4FE6" w14:paraId="71D9EC26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</w:tcPr>
          <w:p w14:paraId="20943C4C" w14:textId="77777777" w:rsidR="001B3460" w:rsidRPr="00C625CE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25C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0B0EA370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auto"/>
          </w:tcPr>
          <w:p w14:paraId="50456504" w14:textId="77777777" w:rsidR="001B3460" w:rsidRDefault="00E97FF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ustawa nie będzie miała</w:t>
            </w:r>
            <w:r w:rsidR="009A4939">
              <w:rPr>
                <w:rFonts w:ascii="Times New Roman" w:hAnsi="Times New Roman"/>
                <w:color w:val="000000"/>
              </w:rPr>
              <w:t xml:space="preserve"> </w:t>
            </w:r>
            <w:r w:rsidR="00120742">
              <w:rPr>
                <w:rFonts w:ascii="Times New Roman" w:hAnsi="Times New Roman"/>
                <w:color w:val="000000"/>
              </w:rPr>
              <w:t>wpły</w:t>
            </w:r>
            <w:r w:rsidR="009A4939">
              <w:rPr>
                <w:rFonts w:ascii="Times New Roman" w:hAnsi="Times New Roman"/>
                <w:color w:val="000000"/>
              </w:rPr>
              <w:t>wu</w:t>
            </w:r>
            <w:r w:rsidR="00120742">
              <w:rPr>
                <w:rFonts w:ascii="Times New Roman" w:hAnsi="Times New Roman"/>
                <w:color w:val="000000"/>
              </w:rPr>
              <w:t xml:space="preserve"> na rynek pracy.</w:t>
            </w:r>
          </w:p>
          <w:p w14:paraId="114123FF" w14:textId="77777777" w:rsidR="0086420A" w:rsidRPr="008B4FE6" w:rsidRDefault="0086420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716D4840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</w:tcPr>
          <w:p w14:paraId="4BA0C33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6A62BE47" w14:textId="77777777" w:rsidTr="005D4F24">
        <w:trPr>
          <w:trHeight w:val="1031"/>
        </w:trPr>
        <w:tc>
          <w:tcPr>
            <w:tcW w:w="3409" w:type="dxa"/>
            <w:gridSpan w:val="5"/>
            <w:shd w:val="clear" w:color="auto" w:fill="FFFFFF"/>
          </w:tcPr>
          <w:p w14:paraId="0879BF75" w14:textId="77777777" w:rsidR="001B3460" w:rsidRPr="00F239C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239C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środowisko naturalne</w:t>
            </w:r>
          </w:p>
          <w:p w14:paraId="41B296E3" w14:textId="77777777" w:rsidR="001B3460" w:rsidRPr="00F239C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sytuacja i rozwój regionalny</w:t>
            </w:r>
          </w:p>
          <w:p w14:paraId="7B5362D2" w14:textId="77777777" w:rsidR="001B3460" w:rsidRPr="00F239C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239C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inne: </w:t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F239CF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F239CF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F239CF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F239CF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635" w:type="dxa"/>
            <w:gridSpan w:val="13"/>
            <w:shd w:val="clear" w:color="auto" w:fill="FFFFFF"/>
          </w:tcPr>
          <w:p w14:paraId="490302C2" w14:textId="77777777" w:rsidR="001B3460" w:rsidRPr="00F239C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239C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demografia</w:t>
            </w:r>
          </w:p>
          <w:p w14:paraId="138D98AF" w14:textId="77777777" w:rsidR="001B3460" w:rsidRPr="00F239C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mienie państwowe</w:t>
            </w:r>
          </w:p>
        </w:tc>
        <w:tc>
          <w:tcPr>
            <w:tcW w:w="4013" w:type="dxa"/>
            <w:gridSpan w:val="7"/>
            <w:shd w:val="clear" w:color="auto" w:fill="FFFFFF"/>
          </w:tcPr>
          <w:p w14:paraId="3A271AA3" w14:textId="77777777" w:rsidR="001B3460" w:rsidRPr="00F239CF" w:rsidRDefault="00414F91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1B3460"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1B3460" w:rsidRPr="00F239C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informatyzacja</w:t>
            </w:r>
          </w:p>
          <w:p w14:paraId="0935A760" w14:textId="77777777" w:rsidR="001B3460" w:rsidRPr="00F239C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BC23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239C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zdrowie</w:t>
            </w:r>
          </w:p>
        </w:tc>
      </w:tr>
      <w:tr w:rsidR="001B3460" w:rsidRPr="008B4FE6" w14:paraId="0D92562A" w14:textId="77777777" w:rsidTr="005D4F24">
        <w:trPr>
          <w:trHeight w:val="712"/>
        </w:trPr>
        <w:tc>
          <w:tcPr>
            <w:tcW w:w="1953" w:type="dxa"/>
            <w:gridSpan w:val="2"/>
            <w:shd w:val="clear" w:color="auto" w:fill="FFFFFF"/>
            <w:vAlign w:val="center"/>
          </w:tcPr>
          <w:p w14:paraId="692A90AB" w14:textId="77777777" w:rsidR="001B3460" w:rsidRPr="00F239C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39CF">
              <w:rPr>
                <w:rFonts w:ascii="Times New Roman" w:hAnsi="Times New Roman"/>
                <w:color w:val="000000"/>
                <w:sz w:val="21"/>
                <w:szCs w:val="21"/>
              </w:rPr>
              <w:t>Omówienie wpływu</w:t>
            </w:r>
          </w:p>
        </w:tc>
        <w:tc>
          <w:tcPr>
            <w:tcW w:w="9104" w:type="dxa"/>
            <w:gridSpan w:val="23"/>
            <w:shd w:val="clear" w:color="auto" w:fill="FFFFFF"/>
            <w:vAlign w:val="center"/>
          </w:tcPr>
          <w:p w14:paraId="20FCD906" w14:textId="77777777" w:rsidR="00F63FE7" w:rsidRDefault="00F63FE7" w:rsidP="00F239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F1E7A0C" w14:textId="77777777" w:rsidR="00F63FE7" w:rsidRDefault="00387806" w:rsidP="00F239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625CE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14:paraId="6F3CE10B" w14:textId="77777777" w:rsidR="00F63FE7" w:rsidRPr="00C625CE" w:rsidRDefault="00F63FE7" w:rsidP="00F239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1F34FDD0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</w:tcPr>
          <w:p w14:paraId="420043C7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649ABE55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FFFFFF"/>
          </w:tcPr>
          <w:p w14:paraId="09B55AE8" w14:textId="77777777" w:rsidR="00F63FE7" w:rsidRDefault="003D4FB3" w:rsidP="00A222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4FB3">
              <w:rPr>
                <w:rFonts w:ascii="Times New Roman" w:hAnsi="Times New Roman"/>
                <w:color w:val="000000"/>
                <w:spacing w:val="-2"/>
              </w:rPr>
              <w:t>Ustawa wchodzi w życie z dniem 1 lipca 2021 r.</w:t>
            </w:r>
          </w:p>
          <w:p w14:paraId="4EF9EA34" w14:textId="77777777" w:rsidR="009663CF" w:rsidRPr="003D4FB3" w:rsidRDefault="009663CF" w:rsidP="00A222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D82D042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</w:tcPr>
          <w:p w14:paraId="1F849CDF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074AB99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FFFFFF"/>
          </w:tcPr>
          <w:p w14:paraId="0D6D1BC0" w14:textId="77777777" w:rsidR="009A4FD6" w:rsidRDefault="00AA2123" w:rsidP="009A4F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ustawa będzie stosowana</w:t>
            </w:r>
            <w:r w:rsidR="00A14B73" w:rsidRPr="00AA2123">
              <w:rPr>
                <w:rFonts w:ascii="Times New Roman" w:hAnsi="Times New Roman"/>
                <w:color w:val="000000"/>
                <w:spacing w:val="-2"/>
              </w:rPr>
              <w:t xml:space="preserve"> w sposób ciągły, stąd też nie planuje się ewaluacji efektów projektu</w:t>
            </w:r>
            <w:r w:rsidR="009A4FD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E7C451F" w14:textId="77777777" w:rsidR="009663CF" w:rsidRPr="00AA2123" w:rsidRDefault="009663CF" w:rsidP="009A4F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C14B129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99CCFF"/>
          </w:tcPr>
          <w:p w14:paraId="76E7F7A7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64D2A59" w14:textId="77777777" w:rsidTr="005D4F24">
        <w:trPr>
          <w:trHeight w:val="142"/>
        </w:trPr>
        <w:tc>
          <w:tcPr>
            <w:tcW w:w="11057" w:type="dxa"/>
            <w:gridSpan w:val="25"/>
            <w:shd w:val="clear" w:color="auto" w:fill="FFFFFF"/>
          </w:tcPr>
          <w:p w14:paraId="2DCE4155" w14:textId="77777777" w:rsidR="001B3460" w:rsidRDefault="0038780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625CE"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  <w:p w14:paraId="00DD5687" w14:textId="77777777" w:rsidR="009663CF" w:rsidRPr="00C625CE" w:rsidRDefault="009663C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95E5FBE" w14:textId="77777777" w:rsidR="006176ED" w:rsidRPr="00522D94" w:rsidRDefault="009D0655" w:rsidP="00C87352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F05B" w14:textId="77777777" w:rsidR="00BC23A1" w:rsidRDefault="00BC23A1" w:rsidP="00044739">
      <w:pPr>
        <w:spacing w:line="240" w:lineRule="auto"/>
      </w:pPr>
      <w:r>
        <w:separator/>
      </w:r>
    </w:p>
  </w:endnote>
  <w:endnote w:type="continuationSeparator" w:id="0">
    <w:p w14:paraId="7B583E63" w14:textId="77777777" w:rsidR="00BC23A1" w:rsidRDefault="00BC23A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ACF4" w14:textId="77777777" w:rsidR="00BC23A1" w:rsidRDefault="00BC23A1" w:rsidP="00044739">
      <w:pPr>
        <w:spacing w:line="240" w:lineRule="auto"/>
      </w:pPr>
      <w:r>
        <w:separator/>
      </w:r>
    </w:p>
  </w:footnote>
  <w:footnote w:type="continuationSeparator" w:id="0">
    <w:p w14:paraId="5C93CA0C" w14:textId="77777777" w:rsidR="00BC23A1" w:rsidRDefault="00BC23A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D08"/>
    <w:multiLevelType w:val="hybridMultilevel"/>
    <w:tmpl w:val="78DCFDE8"/>
    <w:lvl w:ilvl="0" w:tplc="1D268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color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98B1710"/>
    <w:multiLevelType w:val="hybridMultilevel"/>
    <w:tmpl w:val="B00E9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627A68"/>
    <w:multiLevelType w:val="hybridMultilevel"/>
    <w:tmpl w:val="78DCFDE8"/>
    <w:lvl w:ilvl="0" w:tplc="1D268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color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E55654F"/>
    <w:multiLevelType w:val="hybridMultilevel"/>
    <w:tmpl w:val="E4B6AE24"/>
    <w:lvl w:ilvl="0" w:tplc="373C7B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0"/>
      </w:rPr>
    </w:lvl>
    <w:lvl w:ilvl="1" w:tplc="1D26810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u w:color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B3479E8"/>
    <w:multiLevelType w:val="hybridMultilevel"/>
    <w:tmpl w:val="60147C52"/>
    <w:lvl w:ilvl="0" w:tplc="1D268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E760BF"/>
    <w:multiLevelType w:val="hybridMultilevel"/>
    <w:tmpl w:val="7C449A6C"/>
    <w:lvl w:ilvl="0" w:tplc="1D26810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u w:color="FF0000"/>
      </w:rPr>
    </w:lvl>
    <w:lvl w:ilvl="1" w:tplc="B508A11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374713"/>
    <w:multiLevelType w:val="hybridMultilevel"/>
    <w:tmpl w:val="DA50CDD4"/>
    <w:lvl w:ilvl="0" w:tplc="B508A1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1"/>
  </w:num>
  <w:num w:numId="5">
    <w:abstractNumId w:val="2"/>
  </w:num>
  <w:num w:numId="6">
    <w:abstractNumId w:val="9"/>
  </w:num>
  <w:num w:numId="7">
    <w:abstractNumId w:val="14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22"/>
  </w:num>
  <w:num w:numId="15">
    <w:abstractNumId w:val="18"/>
  </w:num>
  <w:num w:numId="16">
    <w:abstractNumId w:val="20"/>
  </w:num>
  <w:num w:numId="17">
    <w:abstractNumId w:val="7"/>
  </w:num>
  <w:num w:numId="18">
    <w:abstractNumId w:val="24"/>
  </w:num>
  <w:num w:numId="19">
    <w:abstractNumId w:val="26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7"/>
  </w:num>
  <w:num w:numId="25">
    <w:abstractNumId w:val="23"/>
  </w:num>
  <w:num w:numId="26">
    <w:abstractNumId w:val="25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6A75"/>
    <w:rsid w:val="00012D11"/>
    <w:rsid w:val="00013EB5"/>
    <w:rsid w:val="000228A2"/>
    <w:rsid w:val="00023631"/>
    <w:rsid w:val="00023836"/>
    <w:rsid w:val="00024FC1"/>
    <w:rsid w:val="000356A9"/>
    <w:rsid w:val="000358B0"/>
    <w:rsid w:val="00044138"/>
    <w:rsid w:val="00044739"/>
    <w:rsid w:val="0004482D"/>
    <w:rsid w:val="00051637"/>
    <w:rsid w:val="00056681"/>
    <w:rsid w:val="00062E1C"/>
    <w:rsid w:val="000648A7"/>
    <w:rsid w:val="0006618B"/>
    <w:rsid w:val="000670C0"/>
    <w:rsid w:val="00071B99"/>
    <w:rsid w:val="000756E5"/>
    <w:rsid w:val="0007704E"/>
    <w:rsid w:val="00077D25"/>
    <w:rsid w:val="00080681"/>
    <w:rsid w:val="00080EC8"/>
    <w:rsid w:val="00082881"/>
    <w:rsid w:val="0009163D"/>
    <w:rsid w:val="00092448"/>
    <w:rsid w:val="00092A27"/>
    <w:rsid w:val="000944AC"/>
    <w:rsid w:val="00094CB9"/>
    <w:rsid w:val="000956B2"/>
    <w:rsid w:val="000A23DE"/>
    <w:rsid w:val="000A4020"/>
    <w:rsid w:val="000B54FB"/>
    <w:rsid w:val="000C26AD"/>
    <w:rsid w:val="000C29B0"/>
    <w:rsid w:val="000C3B00"/>
    <w:rsid w:val="000C5C5B"/>
    <w:rsid w:val="000C6BCF"/>
    <w:rsid w:val="000C76FC"/>
    <w:rsid w:val="000D38FC"/>
    <w:rsid w:val="000D4D90"/>
    <w:rsid w:val="000E253C"/>
    <w:rsid w:val="000E2D10"/>
    <w:rsid w:val="000F3204"/>
    <w:rsid w:val="00103C38"/>
    <w:rsid w:val="0010548B"/>
    <w:rsid w:val="001072D1"/>
    <w:rsid w:val="0011108B"/>
    <w:rsid w:val="001127DB"/>
    <w:rsid w:val="00117017"/>
    <w:rsid w:val="00120742"/>
    <w:rsid w:val="00130E8E"/>
    <w:rsid w:val="0013216E"/>
    <w:rsid w:val="00136ADA"/>
    <w:rsid w:val="001401B5"/>
    <w:rsid w:val="001422B9"/>
    <w:rsid w:val="0014665F"/>
    <w:rsid w:val="00152BE5"/>
    <w:rsid w:val="00153464"/>
    <w:rsid w:val="001541B3"/>
    <w:rsid w:val="00155B15"/>
    <w:rsid w:val="001579F1"/>
    <w:rsid w:val="00160E37"/>
    <w:rsid w:val="00161C7A"/>
    <w:rsid w:val="001625BE"/>
    <w:rsid w:val="001643A4"/>
    <w:rsid w:val="00166B3A"/>
    <w:rsid w:val="001727B6"/>
    <w:rsid w:val="001727BB"/>
    <w:rsid w:val="0018028B"/>
    <w:rsid w:val="00180D25"/>
    <w:rsid w:val="0018318D"/>
    <w:rsid w:val="0018572C"/>
    <w:rsid w:val="00187E79"/>
    <w:rsid w:val="00187F0D"/>
    <w:rsid w:val="00192CC5"/>
    <w:rsid w:val="001956A7"/>
    <w:rsid w:val="001962BD"/>
    <w:rsid w:val="00196C5F"/>
    <w:rsid w:val="001A0111"/>
    <w:rsid w:val="001A118A"/>
    <w:rsid w:val="001A27F4"/>
    <w:rsid w:val="001A2D95"/>
    <w:rsid w:val="001B3460"/>
    <w:rsid w:val="001B4CA1"/>
    <w:rsid w:val="001B75D8"/>
    <w:rsid w:val="001C1060"/>
    <w:rsid w:val="001C3C63"/>
    <w:rsid w:val="001D3BD4"/>
    <w:rsid w:val="001D4732"/>
    <w:rsid w:val="001D6A3C"/>
    <w:rsid w:val="001D6D51"/>
    <w:rsid w:val="001F43C4"/>
    <w:rsid w:val="001F6979"/>
    <w:rsid w:val="00202BC6"/>
    <w:rsid w:val="002047F9"/>
    <w:rsid w:val="00205141"/>
    <w:rsid w:val="0020516B"/>
    <w:rsid w:val="00207D1F"/>
    <w:rsid w:val="00212670"/>
    <w:rsid w:val="00213559"/>
    <w:rsid w:val="00213EFD"/>
    <w:rsid w:val="002172F1"/>
    <w:rsid w:val="00223C7B"/>
    <w:rsid w:val="00224AB1"/>
    <w:rsid w:val="0022584E"/>
    <w:rsid w:val="0022687A"/>
    <w:rsid w:val="00230728"/>
    <w:rsid w:val="0023379C"/>
    <w:rsid w:val="00234040"/>
    <w:rsid w:val="00235A70"/>
    <w:rsid w:val="00235CD2"/>
    <w:rsid w:val="00242056"/>
    <w:rsid w:val="00252AB7"/>
    <w:rsid w:val="00253EA7"/>
    <w:rsid w:val="002545D0"/>
    <w:rsid w:val="00254DED"/>
    <w:rsid w:val="00255619"/>
    <w:rsid w:val="00255C5F"/>
    <w:rsid w:val="00255DAD"/>
    <w:rsid w:val="00256108"/>
    <w:rsid w:val="00257683"/>
    <w:rsid w:val="00260F33"/>
    <w:rsid w:val="002613BD"/>
    <w:rsid w:val="002624F1"/>
    <w:rsid w:val="00270C81"/>
    <w:rsid w:val="00271558"/>
    <w:rsid w:val="00274862"/>
    <w:rsid w:val="00275341"/>
    <w:rsid w:val="002811F2"/>
    <w:rsid w:val="00282D72"/>
    <w:rsid w:val="00283402"/>
    <w:rsid w:val="0028498F"/>
    <w:rsid w:val="00284DBE"/>
    <w:rsid w:val="00290FD6"/>
    <w:rsid w:val="0029184B"/>
    <w:rsid w:val="00291965"/>
    <w:rsid w:val="00291B81"/>
    <w:rsid w:val="00294259"/>
    <w:rsid w:val="002A2C81"/>
    <w:rsid w:val="002B3D1A"/>
    <w:rsid w:val="002C2C9B"/>
    <w:rsid w:val="002D17D6"/>
    <w:rsid w:val="002D18D7"/>
    <w:rsid w:val="002D2056"/>
    <w:rsid w:val="002D21CE"/>
    <w:rsid w:val="002E0B73"/>
    <w:rsid w:val="002E18B1"/>
    <w:rsid w:val="002E2B04"/>
    <w:rsid w:val="002E3DA3"/>
    <w:rsid w:val="002E450F"/>
    <w:rsid w:val="002E6B38"/>
    <w:rsid w:val="002E6D63"/>
    <w:rsid w:val="002E6E2B"/>
    <w:rsid w:val="002F500B"/>
    <w:rsid w:val="002F5699"/>
    <w:rsid w:val="002F56D0"/>
    <w:rsid w:val="002F7234"/>
    <w:rsid w:val="003008F4"/>
    <w:rsid w:val="00301959"/>
    <w:rsid w:val="00305B8A"/>
    <w:rsid w:val="003066CC"/>
    <w:rsid w:val="003102C8"/>
    <w:rsid w:val="00316879"/>
    <w:rsid w:val="0032254A"/>
    <w:rsid w:val="00322E3D"/>
    <w:rsid w:val="00323297"/>
    <w:rsid w:val="00331BF9"/>
    <w:rsid w:val="00333084"/>
    <w:rsid w:val="0033495E"/>
    <w:rsid w:val="00334A79"/>
    <w:rsid w:val="00334D8D"/>
    <w:rsid w:val="00337345"/>
    <w:rsid w:val="00337DD2"/>
    <w:rsid w:val="003404D1"/>
    <w:rsid w:val="003443FF"/>
    <w:rsid w:val="00355808"/>
    <w:rsid w:val="00360295"/>
    <w:rsid w:val="00362C7E"/>
    <w:rsid w:val="00363601"/>
    <w:rsid w:val="0036497E"/>
    <w:rsid w:val="003708DA"/>
    <w:rsid w:val="00375515"/>
    <w:rsid w:val="00376AC9"/>
    <w:rsid w:val="0038234C"/>
    <w:rsid w:val="00387806"/>
    <w:rsid w:val="00393032"/>
    <w:rsid w:val="00394B69"/>
    <w:rsid w:val="00394D04"/>
    <w:rsid w:val="00397078"/>
    <w:rsid w:val="003A20A5"/>
    <w:rsid w:val="003A22D6"/>
    <w:rsid w:val="003A6953"/>
    <w:rsid w:val="003B14FD"/>
    <w:rsid w:val="003B2C87"/>
    <w:rsid w:val="003B6083"/>
    <w:rsid w:val="003C3838"/>
    <w:rsid w:val="003C5847"/>
    <w:rsid w:val="003D0681"/>
    <w:rsid w:val="003D12F6"/>
    <w:rsid w:val="003D1426"/>
    <w:rsid w:val="003D485F"/>
    <w:rsid w:val="003D4FB3"/>
    <w:rsid w:val="003E2F4E"/>
    <w:rsid w:val="003E720A"/>
    <w:rsid w:val="003F3DFE"/>
    <w:rsid w:val="00403E6E"/>
    <w:rsid w:val="00405FF8"/>
    <w:rsid w:val="00411924"/>
    <w:rsid w:val="004129B4"/>
    <w:rsid w:val="00414357"/>
    <w:rsid w:val="00414F91"/>
    <w:rsid w:val="00417EF0"/>
    <w:rsid w:val="00420A2B"/>
    <w:rsid w:val="00421AE9"/>
    <w:rsid w:val="00422181"/>
    <w:rsid w:val="004244A8"/>
    <w:rsid w:val="004246CB"/>
    <w:rsid w:val="00425F72"/>
    <w:rsid w:val="00427066"/>
    <w:rsid w:val="00427736"/>
    <w:rsid w:val="00427DAB"/>
    <w:rsid w:val="00430F14"/>
    <w:rsid w:val="00430F48"/>
    <w:rsid w:val="00435BA5"/>
    <w:rsid w:val="00441787"/>
    <w:rsid w:val="00444F2D"/>
    <w:rsid w:val="00446EE5"/>
    <w:rsid w:val="00452034"/>
    <w:rsid w:val="00455FA6"/>
    <w:rsid w:val="0046153F"/>
    <w:rsid w:val="00464E2E"/>
    <w:rsid w:val="00466C70"/>
    <w:rsid w:val="00466CE0"/>
    <w:rsid w:val="004702C9"/>
    <w:rsid w:val="00472E45"/>
    <w:rsid w:val="00473FEA"/>
    <w:rsid w:val="0047579D"/>
    <w:rsid w:val="00476413"/>
    <w:rsid w:val="00480C5C"/>
    <w:rsid w:val="00483262"/>
    <w:rsid w:val="00484107"/>
    <w:rsid w:val="00485CC5"/>
    <w:rsid w:val="0049343F"/>
    <w:rsid w:val="00495042"/>
    <w:rsid w:val="004964FC"/>
    <w:rsid w:val="00497601"/>
    <w:rsid w:val="004A145E"/>
    <w:rsid w:val="004A1F15"/>
    <w:rsid w:val="004A2A81"/>
    <w:rsid w:val="004A36D2"/>
    <w:rsid w:val="004A7BD7"/>
    <w:rsid w:val="004C15C2"/>
    <w:rsid w:val="004C36D8"/>
    <w:rsid w:val="004C591A"/>
    <w:rsid w:val="004D1248"/>
    <w:rsid w:val="004D1E3C"/>
    <w:rsid w:val="004D1EAE"/>
    <w:rsid w:val="004D4169"/>
    <w:rsid w:val="004D5923"/>
    <w:rsid w:val="004D5DF3"/>
    <w:rsid w:val="004D6E14"/>
    <w:rsid w:val="004F46C7"/>
    <w:rsid w:val="004F4E17"/>
    <w:rsid w:val="00500629"/>
    <w:rsid w:val="0050082F"/>
    <w:rsid w:val="00500C56"/>
    <w:rsid w:val="00501713"/>
    <w:rsid w:val="00506060"/>
    <w:rsid w:val="00506568"/>
    <w:rsid w:val="005071E5"/>
    <w:rsid w:val="00510525"/>
    <w:rsid w:val="00513792"/>
    <w:rsid w:val="0051401A"/>
    <w:rsid w:val="0051551B"/>
    <w:rsid w:val="00517E37"/>
    <w:rsid w:val="00520C57"/>
    <w:rsid w:val="00522D94"/>
    <w:rsid w:val="00533D89"/>
    <w:rsid w:val="00536564"/>
    <w:rsid w:val="00544597"/>
    <w:rsid w:val="005448E7"/>
    <w:rsid w:val="00544FFE"/>
    <w:rsid w:val="005473F5"/>
    <w:rsid w:val="005477E7"/>
    <w:rsid w:val="00550D38"/>
    <w:rsid w:val="00552794"/>
    <w:rsid w:val="0056310C"/>
    <w:rsid w:val="00563199"/>
    <w:rsid w:val="00564874"/>
    <w:rsid w:val="00567963"/>
    <w:rsid w:val="0057009A"/>
    <w:rsid w:val="00571260"/>
    <w:rsid w:val="0057161E"/>
    <w:rsid w:val="0057189C"/>
    <w:rsid w:val="00573FC1"/>
    <w:rsid w:val="005741EE"/>
    <w:rsid w:val="0057668E"/>
    <w:rsid w:val="00595E83"/>
    <w:rsid w:val="00596530"/>
    <w:rsid w:val="005967F3"/>
    <w:rsid w:val="005A026B"/>
    <w:rsid w:val="005A06DF"/>
    <w:rsid w:val="005A5527"/>
    <w:rsid w:val="005A5AE6"/>
    <w:rsid w:val="005A7F2F"/>
    <w:rsid w:val="005B1206"/>
    <w:rsid w:val="005B37E8"/>
    <w:rsid w:val="005C0056"/>
    <w:rsid w:val="005C7CD4"/>
    <w:rsid w:val="005D12A5"/>
    <w:rsid w:val="005D4F24"/>
    <w:rsid w:val="005E0D13"/>
    <w:rsid w:val="005E5047"/>
    <w:rsid w:val="005E7205"/>
    <w:rsid w:val="005E7371"/>
    <w:rsid w:val="005F116C"/>
    <w:rsid w:val="005F2131"/>
    <w:rsid w:val="006043AD"/>
    <w:rsid w:val="00605EF6"/>
    <w:rsid w:val="00606455"/>
    <w:rsid w:val="00614431"/>
    <w:rsid w:val="00614929"/>
    <w:rsid w:val="00616511"/>
    <w:rsid w:val="006176ED"/>
    <w:rsid w:val="006202F3"/>
    <w:rsid w:val="0062097A"/>
    <w:rsid w:val="00621DA6"/>
    <w:rsid w:val="00622950"/>
    <w:rsid w:val="00623CFE"/>
    <w:rsid w:val="00627221"/>
    <w:rsid w:val="00627EE8"/>
    <w:rsid w:val="006310D6"/>
    <w:rsid w:val="006316FA"/>
    <w:rsid w:val="00633854"/>
    <w:rsid w:val="0063556E"/>
    <w:rsid w:val="006370D2"/>
    <w:rsid w:val="0064074F"/>
    <w:rsid w:val="00640FFB"/>
    <w:rsid w:val="00641F55"/>
    <w:rsid w:val="00645E4A"/>
    <w:rsid w:val="0064749D"/>
    <w:rsid w:val="006501A5"/>
    <w:rsid w:val="00653688"/>
    <w:rsid w:val="0066035C"/>
    <w:rsid w:val="0066091B"/>
    <w:rsid w:val="00662D5E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F94"/>
    <w:rsid w:val="0068601E"/>
    <w:rsid w:val="006909D8"/>
    <w:rsid w:val="00692445"/>
    <w:rsid w:val="00692DEF"/>
    <w:rsid w:val="00694609"/>
    <w:rsid w:val="0069486B"/>
    <w:rsid w:val="006A4904"/>
    <w:rsid w:val="006A548F"/>
    <w:rsid w:val="006A701A"/>
    <w:rsid w:val="006B45D2"/>
    <w:rsid w:val="006B47CA"/>
    <w:rsid w:val="006B64DC"/>
    <w:rsid w:val="006B665B"/>
    <w:rsid w:val="006B7A91"/>
    <w:rsid w:val="006C1C66"/>
    <w:rsid w:val="006C46B9"/>
    <w:rsid w:val="006D4704"/>
    <w:rsid w:val="006D4F36"/>
    <w:rsid w:val="006D6A2D"/>
    <w:rsid w:val="006E1E18"/>
    <w:rsid w:val="006E25E9"/>
    <w:rsid w:val="006E31CE"/>
    <w:rsid w:val="006E34D3"/>
    <w:rsid w:val="006E68F8"/>
    <w:rsid w:val="006F1435"/>
    <w:rsid w:val="006F78C4"/>
    <w:rsid w:val="007031A0"/>
    <w:rsid w:val="00705A29"/>
    <w:rsid w:val="00705CB2"/>
    <w:rsid w:val="00707498"/>
    <w:rsid w:val="00711A65"/>
    <w:rsid w:val="00711D52"/>
    <w:rsid w:val="00714133"/>
    <w:rsid w:val="00714DA4"/>
    <w:rsid w:val="007158B2"/>
    <w:rsid w:val="00716081"/>
    <w:rsid w:val="00722B25"/>
    <w:rsid w:val="00722B48"/>
    <w:rsid w:val="00722F51"/>
    <w:rsid w:val="00724164"/>
    <w:rsid w:val="00725456"/>
    <w:rsid w:val="00725DE7"/>
    <w:rsid w:val="0072636A"/>
    <w:rsid w:val="00726B44"/>
    <w:rsid w:val="007318DD"/>
    <w:rsid w:val="00733167"/>
    <w:rsid w:val="0073637D"/>
    <w:rsid w:val="00740D2C"/>
    <w:rsid w:val="007424A1"/>
    <w:rsid w:val="00744BF9"/>
    <w:rsid w:val="00751A20"/>
    <w:rsid w:val="00752623"/>
    <w:rsid w:val="0075468C"/>
    <w:rsid w:val="00760F1F"/>
    <w:rsid w:val="0076423E"/>
    <w:rsid w:val="007646CB"/>
    <w:rsid w:val="0076658F"/>
    <w:rsid w:val="0077040A"/>
    <w:rsid w:val="00772D64"/>
    <w:rsid w:val="00782607"/>
    <w:rsid w:val="00783D5C"/>
    <w:rsid w:val="00785A67"/>
    <w:rsid w:val="00792609"/>
    <w:rsid w:val="007943E2"/>
    <w:rsid w:val="00794EF5"/>
    <w:rsid w:val="00794F2C"/>
    <w:rsid w:val="007A3BC7"/>
    <w:rsid w:val="007A5AC4"/>
    <w:rsid w:val="007B0FDD"/>
    <w:rsid w:val="007B3C1E"/>
    <w:rsid w:val="007B4802"/>
    <w:rsid w:val="007B4E0C"/>
    <w:rsid w:val="007B588F"/>
    <w:rsid w:val="007B6668"/>
    <w:rsid w:val="007B6B33"/>
    <w:rsid w:val="007C2701"/>
    <w:rsid w:val="007D2192"/>
    <w:rsid w:val="007D2E24"/>
    <w:rsid w:val="007E23CC"/>
    <w:rsid w:val="007F0021"/>
    <w:rsid w:val="007F2464"/>
    <w:rsid w:val="007F2F52"/>
    <w:rsid w:val="00805F28"/>
    <w:rsid w:val="0080749F"/>
    <w:rsid w:val="00811D46"/>
    <w:rsid w:val="008125B0"/>
    <w:rsid w:val="008142C1"/>
    <w:rsid w:val="0081431D"/>
    <w:rsid w:val="008144CB"/>
    <w:rsid w:val="00821717"/>
    <w:rsid w:val="00822C54"/>
    <w:rsid w:val="00824210"/>
    <w:rsid w:val="008263C0"/>
    <w:rsid w:val="00830F44"/>
    <w:rsid w:val="008347F0"/>
    <w:rsid w:val="00834E23"/>
    <w:rsid w:val="00841422"/>
    <w:rsid w:val="00841D3B"/>
    <w:rsid w:val="0084314C"/>
    <w:rsid w:val="00843171"/>
    <w:rsid w:val="00843AF1"/>
    <w:rsid w:val="008454FA"/>
    <w:rsid w:val="008523D9"/>
    <w:rsid w:val="00853EA4"/>
    <w:rsid w:val="008575C3"/>
    <w:rsid w:val="00863D28"/>
    <w:rsid w:val="0086420A"/>
    <w:rsid w:val="008648C3"/>
    <w:rsid w:val="00880F26"/>
    <w:rsid w:val="008867DF"/>
    <w:rsid w:val="00892000"/>
    <w:rsid w:val="0089495E"/>
    <w:rsid w:val="00896C2E"/>
    <w:rsid w:val="008A5095"/>
    <w:rsid w:val="008A608F"/>
    <w:rsid w:val="008B1A9A"/>
    <w:rsid w:val="008B4FE6"/>
    <w:rsid w:val="008B67C4"/>
    <w:rsid w:val="008B6C37"/>
    <w:rsid w:val="008B7F10"/>
    <w:rsid w:val="008C2397"/>
    <w:rsid w:val="008C2BEE"/>
    <w:rsid w:val="008C3256"/>
    <w:rsid w:val="008C4821"/>
    <w:rsid w:val="008C5869"/>
    <w:rsid w:val="008D455B"/>
    <w:rsid w:val="008E0D2F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260C"/>
    <w:rsid w:val="00934123"/>
    <w:rsid w:val="009371AE"/>
    <w:rsid w:val="00940D53"/>
    <w:rsid w:val="00955774"/>
    <w:rsid w:val="00955ADC"/>
    <w:rsid w:val="009560B5"/>
    <w:rsid w:val="009577F7"/>
    <w:rsid w:val="009618F1"/>
    <w:rsid w:val="00961B37"/>
    <w:rsid w:val="009659BA"/>
    <w:rsid w:val="00965E87"/>
    <w:rsid w:val="009663CF"/>
    <w:rsid w:val="009703D6"/>
    <w:rsid w:val="009705F0"/>
    <w:rsid w:val="0097181B"/>
    <w:rsid w:val="00972383"/>
    <w:rsid w:val="009731CD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4939"/>
    <w:rsid w:val="009A4FD6"/>
    <w:rsid w:val="009B049C"/>
    <w:rsid w:val="009B11C8"/>
    <w:rsid w:val="009B2BCF"/>
    <w:rsid w:val="009B2FF8"/>
    <w:rsid w:val="009B5BA3"/>
    <w:rsid w:val="009D0027"/>
    <w:rsid w:val="009D0655"/>
    <w:rsid w:val="009D3CD0"/>
    <w:rsid w:val="009D6E07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4B73"/>
    <w:rsid w:val="00A1506B"/>
    <w:rsid w:val="00A17CB2"/>
    <w:rsid w:val="00A20E88"/>
    <w:rsid w:val="00A22287"/>
    <w:rsid w:val="00A23191"/>
    <w:rsid w:val="00A319C0"/>
    <w:rsid w:val="00A3238B"/>
    <w:rsid w:val="00A33560"/>
    <w:rsid w:val="00A3612A"/>
    <w:rsid w:val="00A36BC6"/>
    <w:rsid w:val="00A371A5"/>
    <w:rsid w:val="00A43F14"/>
    <w:rsid w:val="00A4406E"/>
    <w:rsid w:val="00A44EA0"/>
    <w:rsid w:val="00A468A3"/>
    <w:rsid w:val="00A47BDF"/>
    <w:rsid w:val="00A50FA5"/>
    <w:rsid w:val="00A51CD7"/>
    <w:rsid w:val="00A52ADB"/>
    <w:rsid w:val="00A533E8"/>
    <w:rsid w:val="00A542D9"/>
    <w:rsid w:val="00A56E64"/>
    <w:rsid w:val="00A624C3"/>
    <w:rsid w:val="00A6641C"/>
    <w:rsid w:val="00A66B9A"/>
    <w:rsid w:val="00A676D7"/>
    <w:rsid w:val="00A70531"/>
    <w:rsid w:val="00A767D2"/>
    <w:rsid w:val="00A77616"/>
    <w:rsid w:val="00A805DA"/>
    <w:rsid w:val="00A811B4"/>
    <w:rsid w:val="00A82BF5"/>
    <w:rsid w:val="00A87CDE"/>
    <w:rsid w:val="00A90B7F"/>
    <w:rsid w:val="00A92BAF"/>
    <w:rsid w:val="00A94737"/>
    <w:rsid w:val="00A94BA3"/>
    <w:rsid w:val="00A94E8C"/>
    <w:rsid w:val="00A960C6"/>
    <w:rsid w:val="00A96CBA"/>
    <w:rsid w:val="00AA2123"/>
    <w:rsid w:val="00AA6CDC"/>
    <w:rsid w:val="00AB04AB"/>
    <w:rsid w:val="00AB1ACD"/>
    <w:rsid w:val="00AB277F"/>
    <w:rsid w:val="00AB4099"/>
    <w:rsid w:val="00AB449A"/>
    <w:rsid w:val="00AB52E9"/>
    <w:rsid w:val="00AB5533"/>
    <w:rsid w:val="00AB738A"/>
    <w:rsid w:val="00AB79E7"/>
    <w:rsid w:val="00AD0C30"/>
    <w:rsid w:val="00AD14F9"/>
    <w:rsid w:val="00AD35D6"/>
    <w:rsid w:val="00AD58C5"/>
    <w:rsid w:val="00AD7210"/>
    <w:rsid w:val="00AE0815"/>
    <w:rsid w:val="00AE36C4"/>
    <w:rsid w:val="00AE3E26"/>
    <w:rsid w:val="00AE472C"/>
    <w:rsid w:val="00AE5375"/>
    <w:rsid w:val="00AE6CF8"/>
    <w:rsid w:val="00AF09CD"/>
    <w:rsid w:val="00AF4CAC"/>
    <w:rsid w:val="00AF548C"/>
    <w:rsid w:val="00B0002E"/>
    <w:rsid w:val="00B03E0D"/>
    <w:rsid w:val="00B054F8"/>
    <w:rsid w:val="00B15664"/>
    <w:rsid w:val="00B210B5"/>
    <w:rsid w:val="00B2219A"/>
    <w:rsid w:val="00B245DE"/>
    <w:rsid w:val="00B3581B"/>
    <w:rsid w:val="00B36B81"/>
    <w:rsid w:val="00B36FEE"/>
    <w:rsid w:val="00B37C80"/>
    <w:rsid w:val="00B40B01"/>
    <w:rsid w:val="00B41AC6"/>
    <w:rsid w:val="00B44DDB"/>
    <w:rsid w:val="00B45CB0"/>
    <w:rsid w:val="00B5092B"/>
    <w:rsid w:val="00B5194E"/>
    <w:rsid w:val="00B51AF5"/>
    <w:rsid w:val="00B531FC"/>
    <w:rsid w:val="00B54AD4"/>
    <w:rsid w:val="00B55347"/>
    <w:rsid w:val="00B57E5E"/>
    <w:rsid w:val="00B61F37"/>
    <w:rsid w:val="00B74D12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969C0"/>
    <w:rsid w:val="00BA0DA2"/>
    <w:rsid w:val="00BA2981"/>
    <w:rsid w:val="00BA48F9"/>
    <w:rsid w:val="00BB0DCA"/>
    <w:rsid w:val="00BB6B80"/>
    <w:rsid w:val="00BC23A1"/>
    <w:rsid w:val="00BC3773"/>
    <w:rsid w:val="00BC381A"/>
    <w:rsid w:val="00BC5D45"/>
    <w:rsid w:val="00BD0962"/>
    <w:rsid w:val="00BD1EED"/>
    <w:rsid w:val="00BD6F3A"/>
    <w:rsid w:val="00BE689C"/>
    <w:rsid w:val="00BF0DA2"/>
    <w:rsid w:val="00BF109C"/>
    <w:rsid w:val="00BF219E"/>
    <w:rsid w:val="00BF34FA"/>
    <w:rsid w:val="00BF4C84"/>
    <w:rsid w:val="00C004B6"/>
    <w:rsid w:val="00C018AB"/>
    <w:rsid w:val="00C031F3"/>
    <w:rsid w:val="00C047A7"/>
    <w:rsid w:val="00C05DE5"/>
    <w:rsid w:val="00C14A8C"/>
    <w:rsid w:val="00C1657D"/>
    <w:rsid w:val="00C2273A"/>
    <w:rsid w:val="00C23B1A"/>
    <w:rsid w:val="00C2639D"/>
    <w:rsid w:val="00C32B8B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37E"/>
    <w:rsid w:val="00C61A87"/>
    <w:rsid w:val="00C625CE"/>
    <w:rsid w:val="00C64F7D"/>
    <w:rsid w:val="00C67309"/>
    <w:rsid w:val="00C74A19"/>
    <w:rsid w:val="00C7614E"/>
    <w:rsid w:val="00C80D60"/>
    <w:rsid w:val="00C81F66"/>
    <w:rsid w:val="00C82FBD"/>
    <w:rsid w:val="00C85267"/>
    <w:rsid w:val="00C8721B"/>
    <w:rsid w:val="00C87352"/>
    <w:rsid w:val="00C93024"/>
    <w:rsid w:val="00C9372C"/>
    <w:rsid w:val="00C9470E"/>
    <w:rsid w:val="00C953F8"/>
    <w:rsid w:val="00C95CEB"/>
    <w:rsid w:val="00C95E70"/>
    <w:rsid w:val="00CA1054"/>
    <w:rsid w:val="00CA63EB"/>
    <w:rsid w:val="00CA69F1"/>
    <w:rsid w:val="00CB6991"/>
    <w:rsid w:val="00CC1906"/>
    <w:rsid w:val="00CC1DF0"/>
    <w:rsid w:val="00CC6194"/>
    <w:rsid w:val="00CC6305"/>
    <w:rsid w:val="00CC78A5"/>
    <w:rsid w:val="00CD0516"/>
    <w:rsid w:val="00CD756B"/>
    <w:rsid w:val="00CE55CF"/>
    <w:rsid w:val="00CE734F"/>
    <w:rsid w:val="00CF112E"/>
    <w:rsid w:val="00CF5F4F"/>
    <w:rsid w:val="00CF6FDC"/>
    <w:rsid w:val="00D01DEC"/>
    <w:rsid w:val="00D05474"/>
    <w:rsid w:val="00D06E38"/>
    <w:rsid w:val="00D14BD3"/>
    <w:rsid w:val="00D15EB8"/>
    <w:rsid w:val="00D218DC"/>
    <w:rsid w:val="00D23773"/>
    <w:rsid w:val="00D24E56"/>
    <w:rsid w:val="00D252EA"/>
    <w:rsid w:val="00D31643"/>
    <w:rsid w:val="00D31AEB"/>
    <w:rsid w:val="00D32ECD"/>
    <w:rsid w:val="00D34101"/>
    <w:rsid w:val="00D361E4"/>
    <w:rsid w:val="00D42F19"/>
    <w:rsid w:val="00D439F6"/>
    <w:rsid w:val="00D450AB"/>
    <w:rsid w:val="00D459C6"/>
    <w:rsid w:val="00D46ECA"/>
    <w:rsid w:val="00D50729"/>
    <w:rsid w:val="00D50C19"/>
    <w:rsid w:val="00D5379E"/>
    <w:rsid w:val="00D62643"/>
    <w:rsid w:val="00D64C0F"/>
    <w:rsid w:val="00D72EFE"/>
    <w:rsid w:val="00D75BCD"/>
    <w:rsid w:val="00D76227"/>
    <w:rsid w:val="00D768D5"/>
    <w:rsid w:val="00D76956"/>
    <w:rsid w:val="00D7778B"/>
    <w:rsid w:val="00D77DF1"/>
    <w:rsid w:val="00D86AFF"/>
    <w:rsid w:val="00D86F59"/>
    <w:rsid w:val="00D87F3B"/>
    <w:rsid w:val="00D95A44"/>
    <w:rsid w:val="00D95D16"/>
    <w:rsid w:val="00D97C76"/>
    <w:rsid w:val="00DB02B4"/>
    <w:rsid w:val="00DB538D"/>
    <w:rsid w:val="00DB7805"/>
    <w:rsid w:val="00DC275C"/>
    <w:rsid w:val="00DC348B"/>
    <w:rsid w:val="00DC4B0D"/>
    <w:rsid w:val="00DC5478"/>
    <w:rsid w:val="00DC7FE1"/>
    <w:rsid w:val="00DD186A"/>
    <w:rsid w:val="00DD3F3F"/>
    <w:rsid w:val="00DD5572"/>
    <w:rsid w:val="00DE432E"/>
    <w:rsid w:val="00DE4B97"/>
    <w:rsid w:val="00DE5D36"/>
    <w:rsid w:val="00DE5D80"/>
    <w:rsid w:val="00DF58CD"/>
    <w:rsid w:val="00DF65DE"/>
    <w:rsid w:val="00DF6EF7"/>
    <w:rsid w:val="00E01139"/>
    <w:rsid w:val="00E012EF"/>
    <w:rsid w:val="00E019A5"/>
    <w:rsid w:val="00E02B65"/>
    <w:rsid w:val="00E02EC8"/>
    <w:rsid w:val="00E037F5"/>
    <w:rsid w:val="00E04ECB"/>
    <w:rsid w:val="00E05A09"/>
    <w:rsid w:val="00E06CA1"/>
    <w:rsid w:val="00E1481D"/>
    <w:rsid w:val="00E15214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0FF"/>
    <w:rsid w:val="00E535C9"/>
    <w:rsid w:val="00E53637"/>
    <w:rsid w:val="00E57322"/>
    <w:rsid w:val="00E628CB"/>
    <w:rsid w:val="00E62AD9"/>
    <w:rsid w:val="00E638C8"/>
    <w:rsid w:val="00E646E4"/>
    <w:rsid w:val="00E7509B"/>
    <w:rsid w:val="00E75A44"/>
    <w:rsid w:val="00E80D16"/>
    <w:rsid w:val="00E81C57"/>
    <w:rsid w:val="00E86590"/>
    <w:rsid w:val="00E907FF"/>
    <w:rsid w:val="00E95098"/>
    <w:rsid w:val="00E97FF4"/>
    <w:rsid w:val="00EA42D1"/>
    <w:rsid w:val="00EA42EF"/>
    <w:rsid w:val="00EA4F01"/>
    <w:rsid w:val="00EB2DD1"/>
    <w:rsid w:val="00EB4C51"/>
    <w:rsid w:val="00EB6077"/>
    <w:rsid w:val="00EB6B37"/>
    <w:rsid w:val="00EC29FE"/>
    <w:rsid w:val="00ED3A3D"/>
    <w:rsid w:val="00ED538A"/>
    <w:rsid w:val="00ED57FE"/>
    <w:rsid w:val="00ED6FBC"/>
    <w:rsid w:val="00ED7561"/>
    <w:rsid w:val="00EE2B3D"/>
    <w:rsid w:val="00EE2F16"/>
    <w:rsid w:val="00EE3861"/>
    <w:rsid w:val="00EF2E73"/>
    <w:rsid w:val="00EF7683"/>
    <w:rsid w:val="00EF7A2D"/>
    <w:rsid w:val="00F03B08"/>
    <w:rsid w:val="00F04F8D"/>
    <w:rsid w:val="00F10AD0"/>
    <w:rsid w:val="00F116CC"/>
    <w:rsid w:val="00F12BD1"/>
    <w:rsid w:val="00F15327"/>
    <w:rsid w:val="00F168CF"/>
    <w:rsid w:val="00F239CF"/>
    <w:rsid w:val="00F2555C"/>
    <w:rsid w:val="00F30AFA"/>
    <w:rsid w:val="00F31DF3"/>
    <w:rsid w:val="00F33AE5"/>
    <w:rsid w:val="00F3597D"/>
    <w:rsid w:val="00F360A9"/>
    <w:rsid w:val="00F41F88"/>
    <w:rsid w:val="00F4376D"/>
    <w:rsid w:val="00F43DEB"/>
    <w:rsid w:val="00F45399"/>
    <w:rsid w:val="00F465EA"/>
    <w:rsid w:val="00F54E7B"/>
    <w:rsid w:val="00F55A88"/>
    <w:rsid w:val="00F57F9C"/>
    <w:rsid w:val="00F63FE7"/>
    <w:rsid w:val="00F65049"/>
    <w:rsid w:val="00F65124"/>
    <w:rsid w:val="00F714C1"/>
    <w:rsid w:val="00F71846"/>
    <w:rsid w:val="00F7391D"/>
    <w:rsid w:val="00F74005"/>
    <w:rsid w:val="00F76884"/>
    <w:rsid w:val="00F82CC2"/>
    <w:rsid w:val="00F83D24"/>
    <w:rsid w:val="00F83DD9"/>
    <w:rsid w:val="00F83F40"/>
    <w:rsid w:val="00F85EFF"/>
    <w:rsid w:val="00FA117A"/>
    <w:rsid w:val="00FB1AC7"/>
    <w:rsid w:val="00FB386A"/>
    <w:rsid w:val="00FB60AC"/>
    <w:rsid w:val="00FB6735"/>
    <w:rsid w:val="00FB72FF"/>
    <w:rsid w:val="00FC0786"/>
    <w:rsid w:val="00FC2997"/>
    <w:rsid w:val="00FC49EF"/>
    <w:rsid w:val="00FD1FE5"/>
    <w:rsid w:val="00FD5E96"/>
    <w:rsid w:val="00FE36E2"/>
    <w:rsid w:val="00FF11AD"/>
    <w:rsid w:val="00FF2971"/>
    <w:rsid w:val="00FF34D4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8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93024"/>
    <w:pPr>
      <w:suppressAutoHyphens/>
      <w:spacing w:line="36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C93024"/>
    <w:rPr>
      <w:rFonts w:ascii="Times New Roman" w:eastAsia="Times New Roman" w:hAnsi="Times New Roman"/>
      <w:noProof/>
      <w:sz w:val="24"/>
      <w:lang w:eastAsia="pl-PL"/>
    </w:rPr>
  </w:style>
  <w:style w:type="paragraph" w:customStyle="1" w:styleId="Tekstgwny">
    <w:name w:val="Tekst główny"/>
    <w:basedOn w:val="Normalny"/>
    <w:uiPriority w:val="99"/>
    <w:rsid w:val="00550D38"/>
    <w:pPr>
      <w:suppressAutoHyphens/>
      <w:spacing w:before="200" w:after="200"/>
      <w:ind w:firstLine="709"/>
    </w:pPr>
    <w:rPr>
      <w:rFonts w:eastAsia="Times New Roman" w:cs="Calibri"/>
      <w:sz w:val="20"/>
      <w:szCs w:val="20"/>
      <w:lang w:eastAsia="zh-CN"/>
    </w:rPr>
  </w:style>
  <w:style w:type="paragraph" w:customStyle="1" w:styleId="LITlitera">
    <w:name w:val="LIT – litera"/>
    <w:basedOn w:val="Normalny"/>
    <w:uiPriority w:val="14"/>
    <w:qFormat/>
    <w:rsid w:val="00FB1AC7"/>
    <w:pPr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84DB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84DB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84DB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84DB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84DBE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.budzetu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51FD-2710-4729-BAFC-3BCD868C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15189</CharactersWithSpaces>
  <SharedDoc>false</SharedDoc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mailto:departament.budzetu@mswia.gov.pl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dc:description/>
  <cp:lastModifiedBy/>
  <cp:revision>1</cp:revision>
  <cp:lastPrinted>2014-03-04T09:05:00Z</cp:lastPrinted>
  <dcterms:created xsi:type="dcterms:W3CDTF">2021-02-09T08:51:00Z</dcterms:created>
  <dcterms:modified xsi:type="dcterms:W3CDTF">2021-02-10T12:33:00Z</dcterms:modified>
</cp:coreProperties>
</file>